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58ED" w14:textId="38FDBFB5" w:rsidR="00362120" w:rsidRPr="00BE0997" w:rsidRDefault="004D5B67" w:rsidP="00362120">
      <w:pPr>
        <w:jc w:val="center"/>
        <w:rPr>
          <w:b/>
          <w:sz w:val="26"/>
          <w:szCs w:val="26"/>
          <w:u w:val="single"/>
        </w:rPr>
      </w:pPr>
      <w:r w:rsidRPr="00BE0997">
        <w:rPr>
          <w:b/>
          <w:sz w:val="26"/>
          <w:szCs w:val="26"/>
          <w:u w:val="single"/>
        </w:rPr>
        <w:t>Second Victim Phenomenon</w:t>
      </w:r>
      <w:r w:rsidR="00D600F1" w:rsidRPr="00BE0997">
        <w:rPr>
          <w:b/>
          <w:sz w:val="26"/>
          <w:szCs w:val="26"/>
          <w:u w:val="single"/>
        </w:rPr>
        <w:t>/Care for the Caregiver</w:t>
      </w:r>
    </w:p>
    <w:p w14:paraId="1A9F2D63" w14:textId="51BBD1FA" w:rsidR="008F5F6D" w:rsidRDefault="00362120" w:rsidP="00362120">
      <w:pPr>
        <w:jc w:val="center"/>
      </w:pPr>
      <w:r>
        <w:t>Information</w:t>
      </w:r>
      <w:r w:rsidR="007A57A2">
        <w:t xml:space="preserve"> for h</w:t>
      </w:r>
      <w:r w:rsidR="00D600F1" w:rsidRPr="007A57A2">
        <w:t>ealth</w:t>
      </w:r>
      <w:r w:rsidR="00CA4689" w:rsidRPr="007A57A2">
        <w:t xml:space="preserve">care workers </w:t>
      </w:r>
      <w:r w:rsidR="00F003E1" w:rsidRPr="007A57A2">
        <w:t xml:space="preserve">about the second victim phenomenon with quick </w:t>
      </w:r>
      <w:r w:rsidR="007A57A2">
        <w:t>access to resources for support</w:t>
      </w:r>
      <w:r w:rsidR="00CA4689" w:rsidRPr="007A57A2">
        <w:t>.</w:t>
      </w:r>
    </w:p>
    <w:p w14:paraId="2D73471A" w14:textId="3A7B7DC6" w:rsidR="0000270B" w:rsidRDefault="0000270B" w:rsidP="00362120">
      <w:pPr>
        <w:jc w:val="center"/>
      </w:pPr>
    </w:p>
    <w:p w14:paraId="24053E3D" w14:textId="611E95B3" w:rsidR="0000270B" w:rsidRPr="00BD7F83" w:rsidRDefault="0000270B" w:rsidP="0000270B">
      <w:pPr>
        <w:rPr>
          <w:vertAlign w:val="superscript"/>
        </w:rPr>
      </w:pPr>
      <w:r>
        <w:t>In 1996, an infant was killed when penicillin G benzathine was incorrectly administered intravenous</w:t>
      </w:r>
      <w:r w:rsidR="001C0658">
        <w:t>ly instead of intra-muscularly. T</w:t>
      </w:r>
      <w:r>
        <w:t xml:space="preserve">hree nurses were indicted for criminally negligent homicide.  After the jury delivered the verdict for the third nurse, which was an acquittal, </w:t>
      </w:r>
      <w:r w:rsidR="00AA35E9">
        <w:t>it gave the following recommendation</w:t>
      </w:r>
      <w:r>
        <w:t>:   “</w:t>
      </w:r>
      <w:r w:rsidRPr="00E17711">
        <w:rPr>
          <w:i/>
        </w:rPr>
        <w:t>We must look beyond blame and focus on the multiple, underlying system failures that shape individual behavior and create the conditions under which medication errors occur</w:t>
      </w:r>
      <w:r>
        <w:t>.”</w:t>
      </w:r>
      <w:r w:rsidR="00BD7F83">
        <w:rPr>
          <w:vertAlign w:val="superscript"/>
        </w:rPr>
        <w:t>1</w:t>
      </w:r>
    </w:p>
    <w:p w14:paraId="2E94D9CA" w14:textId="3AA287B1" w:rsidR="0000270B" w:rsidRDefault="0000270B" w:rsidP="0000270B"/>
    <w:p w14:paraId="21F8FD02" w14:textId="373957B3" w:rsidR="00D509E1" w:rsidRDefault="0000270B" w:rsidP="0000270B">
      <w:r>
        <w:t xml:space="preserve">The term second victim is less than 20 years old and today is met with some controversy.  </w:t>
      </w:r>
      <w:r w:rsidR="006A73A1">
        <w:t xml:space="preserve">Many healthcare professionals are reluctant to use the term while others may </w:t>
      </w:r>
      <w:r w:rsidR="00B93D22">
        <w:t>be unfamiliar with its concept.</w:t>
      </w:r>
      <w:r w:rsidR="00B93D22">
        <w:rPr>
          <w:vertAlign w:val="superscript"/>
        </w:rPr>
        <w:t>2</w:t>
      </w:r>
      <w:r w:rsidR="00B87CEA">
        <w:rPr>
          <w:vertAlign w:val="superscript"/>
        </w:rPr>
        <w:t>,3</w:t>
      </w:r>
      <w:r w:rsidR="00B93D22">
        <w:rPr>
          <w:vertAlign w:val="superscript"/>
        </w:rPr>
        <w:t xml:space="preserve"> </w:t>
      </w:r>
      <w:r w:rsidR="00B87CEA">
        <w:rPr>
          <w:vertAlign w:val="superscript"/>
        </w:rPr>
        <w:t xml:space="preserve"> </w:t>
      </w:r>
      <w:r w:rsidR="006A73A1">
        <w:t xml:space="preserve">The </w:t>
      </w:r>
      <w:r w:rsidR="00F5496B">
        <w:t xml:space="preserve">term </w:t>
      </w:r>
      <w:r w:rsidR="006A73A1">
        <w:t xml:space="preserve">“second victim” </w:t>
      </w:r>
      <w:r w:rsidR="00F5496B">
        <w:t xml:space="preserve">is used commonly in </w:t>
      </w:r>
      <w:r>
        <w:t>literature</w:t>
      </w:r>
      <w:r w:rsidR="00F5496B">
        <w:t xml:space="preserve"> about medication errors</w:t>
      </w:r>
      <w:r w:rsidR="006A73A1">
        <w:t xml:space="preserve"> and while we are utilizing the term here, it is in no way meant to overshadow the experience of the patients and their families as the victims of medication errors</w:t>
      </w:r>
      <w:r>
        <w:t>.</w:t>
      </w:r>
      <w:r w:rsidR="00F5496B">
        <w:t xml:space="preserve">  </w:t>
      </w:r>
    </w:p>
    <w:p w14:paraId="3E83D085" w14:textId="77777777" w:rsidR="00786CD7" w:rsidRDefault="00786CD7" w:rsidP="0000270B"/>
    <w:p w14:paraId="7F4E601B" w14:textId="3C5EF565" w:rsidR="00F5496B" w:rsidRDefault="00F5496B" w:rsidP="0000270B">
      <w:r>
        <w:t xml:space="preserve">This information is intended to provide the following: </w:t>
      </w:r>
    </w:p>
    <w:p w14:paraId="2C62E4C2" w14:textId="77777777" w:rsidR="00F5496B" w:rsidRDefault="00F5496B" w:rsidP="00F5496B">
      <w:pPr>
        <w:pStyle w:val="ListParagraph"/>
        <w:numPr>
          <w:ilvl w:val="0"/>
          <w:numId w:val="12"/>
        </w:numPr>
      </w:pPr>
      <w:r>
        <w:t xml:space="preserve">Education to healthcare providers about the second victim phenomenon </w:t>
      </w:r>
    </w:p>
    <w:p w14:paraId="58DC0D4D" w14:textId="0C1BA8B7" w:rsidR="00F5496B" w:rsidRDefault="00F5496B" w:rsidP="00F5496B">
      <w:pPr>
        <w:pStyle w:val="ListParagraph"/>
        <w:numPr>
          <w:ilvl w:val="0"/>
          <w:numId w:val="12"/>
        </w:numPr>
      </w:pPr>
      <w:r>
        <w:t xml:space="preserve">Resources for facilities looking to improve their organizational structure </w:t>
      </w:r>
      <w:r w:rsidR="0034467D">
        <w:t>to support healthcare staff through programs such as peer to peer</w:t>
      </w:r>
    </w:p>
    <w:p w14:paraId="083C5D5B" w14:textId="1168245C" w:rsidR="0000270B" w:rsidRDefault="00F5496B" w:rsidP="00F5496B">
      <w:pPr>
        <w:pStyle w:val="ListParagraph"/>
        <w:numPr>
          <w:ilvl w:val="0"/>
          <w:numId w:val="12"/>
        </w:numPr>
      </w:pPr>
      <w:r>
        <w:t>Resources for individuals seeking professional support</w:t>
      </w:r>
    </w:p>
    <w:p w14:paraId="431B7635" w14:textId="77777777" w:rsidR="00362120" w:rsidRPr="007A57A2" w:rsidRDefault="00362120" w:rsidP="00362120">
      <w:pPr>
        <w:jc w:val="center"/>
      </w:pPr>
    </w:p>
    <w:p w14:paraId="679CFE29" w14:textId="77777777" w:rsidR="005649F8" w:rsidRDefault="005649F8" w:rsidP="005649F8">
      <w:pPr>
        <w:numPr>
          <w:ilvl w:val="0"/>
          <w:numId w:val="3"/>
        </w:numPr>
        <w:shd w:val="clear" w:color="auto" w:fill="D9D9D9" w:themeFill="background1" w:themeFillShade="D9"/>
      </w:pPr>
      <w:r>
        <w:t xml:space="preserve">Definitions </w:t>
      </w:r>
    </w:p>
    <w:tbl>
      <w:tblPr>
        <w:tblStyle w:val="LightList-Accent1"/>
        <w:tblW w:w="13415" w:type="dxa"/>
        <w:tblLook w:val="04A0" w:firstRow="1" w:lastRow="0" w:firstColumn="1" w:lastColumn="0" w:noHBand="0" w:noVBand="1"/>
      </w:tblPr>
      <w:tblGrid>
        <w:gridCol w:w="3423"/>
        <w:gridCol w:w="9992"/>
      </w:tblGrid>
      <w:tr w:rsidR="005649F8" w14:paraId="2094DAD5" w14:textId="77777777" w:rsidTr="00786CD7">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3423" w:type="dxa"/>
            <w:tcBorders>
              <w:bottom w:val="single" w:sz="12" w:space="0" w:color="auto"/>
            </w:tcBorders>
            <w:shd w:val="clear" w:color="auto" w:fill="1F497D" w:themeFill="text2"/>
          </w:tcPr>
          <w:p w14:paraId="0CCF6AE0" w14:textId="77777777" w:rsidR="005649F8" w:rsidRDefault="005649F8" w:rsidP="00D75A2E">
            <w:r>
              <w:t>Term</w:t>
            </w:r>
          </w:p>
        </w:tc>
        <w:tc>
          <w:tcPr>
            <w:tcW w:w="9992" w:type="dxa"/>
            <w:tcBorders>
              <w:bottom w:val="single" w:sz="12" w:space="0" w:color="auto"/>
            </w:tcBorders>
            <w:shd w:val="clear" w:color="auto" w:fill="1F497D" w:themeFill="text2"/>
          </w:tcPr>
          <w:p w14:paraId="0C43D025" w14:textId="77777777" w:rsidR="005649F8" w:rsidRDefault="005649F8" w:rsidP="00D75A2E">
            <w:pPr>
              <w:tabs>
                <w:tab w:val="left" w:pos="1365"/>
              </w:tabs>
              <w:cnfStyle w:val="100000000000" w:firstRow="1" w:lastRow="0" w:firstColumn="0" w:lastColumn="0" w:oddVBand="0" w:evenVBand="0" w:oddHBand="0" w:evenHBand="0" w:firstRowFirstColumn="0" w:firstRowLastColumn="0" w:lastRowFirstColumn="0" w:lastRowLastColumn="0"/>
            </w:pPr>
            <w:r>
              <w:t>Definition</w:t>
            </w:r>
            <w:r>
              <w:tab/>
            </w:r>
          </w:p>
        </w:tc>
      </w:tr>
      <w:tr w:rsidR="005649F8" w14:paraId="1551A6B1" w14:textId="77777777" w:rsidTr="00CB4C82">
        <w:trPr>
          <w:cnfStyle w:val="000000100000" w:firstRow="0" w:lastRow="0" w:firstColumn="0" w:lastColumn="0" w:oddVBand="0" w:evenVBand="0" w:oddHBand="1" w:evenHBand="0" w:firstRowFirstColumn="0" w:firstRowLastColumn="0" w:lastRowFirstColumn="0" w:lastRowLastColumn="0"/>
          <w:trHeight w:val="2751"/>
        </w:trPr>
        <w:tc>
          <w:tcPr>
            <w:cnfStyle w:val="001000000000" w:firstRow="0" w:lastRow="0" w:firstColumn="1" w:lastColumn="0" w:oddVBand="0" w:evenVBand="0" w:oddHBand="0" w:evenHBand="0" w:firstRowFirstColumn="0" w:firstRowLastColumn="0" w:lastRowFirstColumn="0" w:lastRowLastColumn="0"/>
            <w:tcW w:w="3423" w:type="dxa"/>
            <w:tcBorders>
              <w:top w:val="single" w:sz="12" w:space="0" w:color="auto"/>
              <w:left w:val="single" w:sz="12" w:space="0" w:color="auto"/>
              <w:right w:val="single" w:sz="12" w:space="0" w:color="auto"/>
            </w:tcBorders>
          </w:tcPr>
          <w:p w14:paraId="099BEA7C" w14:textId="77777777" w:rsidR="005649F8" w:rsidRDefault="005649F8" w:rsidP="00D75A2E">
            <w:r>
              <w:t>Second Victim Phenomenon</w:t>
            </w:r>
          </w:p>
        </w:tc>
        <w:tc>
          <w:tcPr>
            <w:tcW w:w="9992" w:type="dxa"/>
            <w:tcBorders>
              <w:top w:val="single" w:sz="12" w:space="0" w:color="auto"/>
              <w:left w:val="single" w:sz="12" w:space="0" w:color="auto"/>
              <w:right w:val="single" w:sz="12" w:space="0" w:color="auto"/>
            </w:tcBorders>
          </w:tcPr>
          <w:p w14:paraId="7BF8665D" w14:textId="1B5E6EF1" w:rsidR="0034467D" w:rsidRPr="0034467D" w:rsidRDefault="005649F8" w:rsidP="0034467D">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“A healthcare provider involved in an unanticipated adverse patient event, medical error, and/or patient related injury who becomes victimized in the sense that the provider is traumatized by the event”</w:t>
            </w:r>
            <w:r w:rsidR="0034467D">
              <w:t xml:space="preserve"> </w:t>
            </w:r>
            <w:r w:rsidR="00B87CEA">
              <w:rPr>
                <w:vertAlign w:val="superscript"/>
              </w:rPr>
              <w:t>4,5</w:t>
            </w:r>
            <w:r w:rsidR="009823BF">
              <w:rPr>
                <w:highlight w:val="yellow"/>
              </w:rPr>
              <w:t xml:space="preserve"> </w:t>
            </w:r>
          </w:p>
          <w:p w14:paraId="028CF465" w14:textId="2FAAD9C7" w:rsidR="0034467D" w:rsidRPr="009823BF" w:rsidRDefault="005649F8" w:rsidP="0034467D">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“Frequently, second victims feel personally responsible for the unexpected patient outcomes and feel as though they have failed their patients, second-guessing their clinical skills and knowledge </w:t>
            </w:r>
            <w:r w:rsidRPr="009823BF">
              <w:t>base.”</w:t>
            </w:r>
            <w:r w:rsidR="00DB6EBC" w:rsidRPr="009823BF">
              <w:rPr>
                <w:vertAlign w:val="superscript"/>
              </w:rPr>
              <w:t>5</w:t>
            </w:r>
            <w:r w:rsidR="0034467D" w:rsidRPr="009823BF">
              <w:t xml:space="preserve"> </w:t>
            </w:r>
          </w:p>
          <w:p w14:paraId="5BC00D73" w14:textId="25FA3FC2" w:rsidR="0034467D" w:rsidRPr="009823BF" w:rsidRDefault="005649F8" w:rsidP="009132F5">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9823BF">
              <w:t>Providers considered are “any individual who provides patient services” (physicians, nurses, pharmacists, and other members of the healthcare team susceptible to error and vulnerable to its consequences such as allied health clinicians, support personnel, students, and volunteers).</w:t>
            </w:r>
            <w:r w:rsidR="00DB6EBC" w:rsidRPr="009823BF">
              <w:rPr>
                <w:vertAlign w:val="superscript"/>
              </w:rPr>
              <w:t>4,5</w:t>
            </w:r>
            <w:r w:rsidR="009823BF" w:rsidRPr="009823BF">
              <w:rPr>
                <w:vertAlign w:val="superscript"/>
              </w:rPr>
              <w:t>,6</w:t>
            </w:r>
          </w:p>
          <w:p w14:paraId="11D78D3A" w14:textId="2450564D" w:rsidR="005649F8" w:rsidRPr="000E498B" w:rsidRDefault="005649F8" w:rsidP="000E498B">
            <w:pPr>
              <w:cnfStyle w:val="000000100000" w:firstRow="0" w:lastRow="0" w:firstColumn="0" w:lastColumn="0" w:oddVBand="0" w:evenVBand="0" w:oddHBand="1" w:evenHBand="0" w:firstRowFirstColumn="0" w:firstRowLastColumn="0" w:lastRowFirstColumn="0" w:lastRowLastColumn="0"/>
            </w:pPr>
          </w:p>
        </w:tc>
      </w:tr>
      <w:tr w:rsidR="005649F8" w14:paraId="009CE827" w14:textId="77777777" w:rsidTr="00CB4C82">
        <w:trPr>
          <w:trHeight w:val="422"/>
        </w:trPr>
        <w:tc>
          <w:tcPr>
            <w:cnfStyle w:val="001000000000" w:firstRow="0" w:lastRow="0" w:firstColumn="1" w:lastColumn="0" w:oddVBand="0" w:evenVBand="0" w:oddHBand="0" w:evenHBand="0" w:firstRowFirstColumn="0" w:firstRowLastColumn="0" w:lastRowFirstColumn="0" w:lastRowLastColumn="0"/>
            <w:tcW w:w="3423" w:type="dxa"/>
            <w:tcBorders>
              <w:top w:val="single" w:sz="8" w:space="0" w:color="4F81BD" w:themeColor="accent1"/>
              <w:left w:val="single" w:sz="12" w:space="0" w:color="auto"/>
              <w:bottom w:val="single" w:sz="8" w:space="0" w:color="4F81BD" w:themeColor="accent1"/>
              <w:right w:val="single" w:sz="12" w:space="0" w:color="auto"/>
            </w:tcBorders>
          </w:tcPr>
          <w:p w14:paraId="787485C0" w14:textId="77777777" w:rsidR="005649F8" w:rsidRDefault="005649F8" w:rsidP="00D75A2E">
            <w:r>
              <w:t>Care for the Caregiver Programs</w:t>
            </w:r>
          </w:p>
        </w:tc>
        <w:tc>
          <w:tcPr>
            <w:tcW w:w="9992" w:type="dxa"/>
            <w:tcBorders>
              <w:top w:val="single" w:sz="8" w:space="0" w:color="4F81BD" w:themeColor="accent1"/>
              <w:left w:val="single" w:sz="12" w:space="0" w:color="auto"/>
              <w:bottom w:val="single" w:sz="8" w:space="0" w:color="4F81BD" w:themeColor="accent1"/>
              <w:right w:val="single" w:sz="12" w:space="0" w:color="auto"/>
            </w:tcBorders>
          </w:tcPr>
          <w:p w14:paraId="25144F5A" w14:textId="3350F6C4" w:rsidR="005649F8" w:rsidRDefault="005649F8" w:rsidP="005649F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A program that provides support for the caregiver after they are involved in an unanticipated adverse event, medical error, and/or patient related injury. This support can be provided at a local level (unit/department), an organizational level with trained individuals, </w:t>
            </w:r>
            <w:r w:rsidR="00E4550A">
              <w:t>or at a referral network level.</w:t>
            </w:r>
            <w:r w:rsidR="00E4550A">
              <w:rPr>
                <w:vertAlign w:val="superscript"/>
              </w:rPr>
              <w:t>7</w:t>
            </w:r>
          </w:p>
          <w:p w14:paraId="293C1275" w14:textId="79469D7A" w:rsidR="00BE0997" w:rsidRDefault="00BE0997" w:rsidP="00BE0997">
            <w:pPr>
              <w:pStyle w:val="ListParagraph"/>
              <w:ind w:left="360"/>
              <w:cnfStyle w:val="000000000000" w:firstRow="0" w:lastRow="0" w:firstColumn="0" w:lastColumn="0" w:oddVBand="0" w:evenVBand="0" w:oddHBand="0" w:evenHBand="0" w:firstRowFirstColumn="0" w:firstRowLastColumn="0" w:lastRowFirstColumn="0" w:lastRowLastColumn="0"/>
            </w:pPr>
          </w:p>
        </w:tc>
      </w:tr>
      <w:tr w:rsidR="005649F8" w14:paraId="25B91978" w14:textId="77777777" w:rsidTr="00CB4C82">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423" w:type="dxa"/>
            <w:tcBorders>
              <w:left w:val="single" w:sz="12" w:space="0" w:color="auto"/>
              <w:right w:val="single" w:sz="12" w:space="0" w:color="auto"/>
            </w:tcBorders>
          </w:tcPr>
          <w:p w14:paraId="1E82C4E3" w14:textId="77777777" w:rsidR="005649F8" w:rsidRDefault="005649F8" w:rsidP="00D75A2E">
            <w:r>
              <w:lastRenderedPageBreak/>
              <w:t>Peer Support Programs</w:t>
            </w:r>
          </w:p>
        </w:tc>
        <w:tc>
          <w:tcPr>
            <w:tcW w:w="9992" w:type="dxa"/>
            <w:tcBorders>
              <w:left w:val="single" w:sz="12" w:space="0" w:color="auto"/>
              <w:right w:val="single" w:sz="12" w:space="0" w:color="auto"/>
            </w:tcBorders>
          </w:tcPr>
          <w:p w14:paraId="65FE3DFF" w14:textId="77777777" w:rsidR="005649F8" w:rsidRDefault="005649F8" w:rsidP="0056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A program involving colleagues or co-workers as equals giving each other support and connection on a reciprocal basis. A peer is able to offer this support by virtue of relevant and/or similar work experience to the one seeking support.</w:t>
            </w:r>
          </w:p>
          <w:p w14:paraId="19C7EC18" w14:textId="1734F741" w:rsidR="00BE0997" w:rsidRDefault="00BE0997" w:rsidP="00BE0997">
            <w:pPr>
              <w:pStyle w:val="ListParagraph"/>
              <w:ind w:left="360"/>
              <w:cnfStyle w:val="000000100000" w:firstRow="0" w:lastRow="0" w:firstColumn="0" w:lastColumn="0" w:oddVBand="0" w:evenVBand="0" w:oddHBand="1" w:evenHBand="0" w:firstRowFirstColumn="0" w:firstRowLastColumn="0" w:lastRowFirstColumn="0" w:lastRowLastColumn="0"/>
            </w:pPr>
          </w:p>
        </w:tc>
      </w:tr>
      <w:tr w:rsidR="005649F8" w14:paraId="6738787D" w14:textId="77777777" w:rsidTr="00FB693E">
        <w:trPr>
          <w:trHeight w:val="3321"/>
        </w:trPr>
        <w:tc>
          <w:tcPr>
            <w:cnfStyle w:val="001000000000" w:firstRow="0" w:lastRow="0" w:firstColumn="1" w:lastColumn="0" w:oddVBand="0" w:evenVBand="0" w:oddHBand="0" w:evenHBand="0" w:firstRowFirstColumn="0" w:firstRowLastColumn="0" w:lastRowFirstColumn="0" w:lastRowLastColumn="0"/>
            <w:tcW w:w="3423" w:type="dxa"/>
            <w:tcBorders>
              <w:top w:val="single" w:sz="8" w:space="0" w:color="4F81BD" w:themeColor="accent1"/>
              <w:left w:val="single" w:sz="12" w:space="0" w:color="auto"/>
              <w:bottom w:val="single" w:sz="8" w:space="0" w:color="4F81BD" w:themeColor="accent1"/>
              <w:right w:val="single" w:sz="12" w:space="0" w:color="auto"/>
            </w:tcBorders>
          </w:tcPr>
          <w:p w14:paraId="4912CA07" w14:textId="77777777" w:rsidR="005649F8" w:rsidRDefault="005649F8" w:rsidP="00D75A2E">
            <w:r>
              <w:t>Adverse Event</w:t>
            </w:r>
          </w:p>
        </w:tc>
        <w:tc>
          <w:tcPr>
            <w:tcW w:w="9992" w:type="dxa"/>
            <w:tcBorders>
              <w:top w:val="single" w:sz="8" w:space="0" w:color="4F81BD" w:themeColor="accent1"/>
              <w:left w:val="single" w:sz="12" w:space="0" w:color="auto"/>
              <w:bottom w:val="single" w:sz="8" w:space="0" w:color="4F81BD" w:themeColor="accent1"/>
              <w:right w:val="single" w:sz="12" w:space="0" w:color="auto"/>
            </w:tcBorders>
          </w:tcPr>
          <w:p w14:paraId="70DD3DED" w14:textId="449F2E5B" w:rsidR="005649F8" w:rsidRPr="00AA63E3" w:rsidRDefault="005649F8" w:rsidP="005649F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AA63E3">
              <w:rPr>
                <w:rFonts w:cs="Arial"/>
              </w:rPr>
              <w:t xml:space="preserve">An injury that was caused by medical management (rather than the underlying disease) and that prolonged the hospitalization, produced a disability at </w:t>
            </w:r>
            <w:r w:rsidR="005F4634">
              <w:rPr>
                <w:rFonts w:cs="Arial"/>
              </w:rPr>
              <w:t>the time of discharge, or both.</w:t>
            </w:r>
            <w:r w:rsidR="005F4634">
              <w:rPr>
                <w:rFonts w:cs="Arial"/>
                <w:vertAlign w:val="superscript"/>
              </w:rPr>
              <w:t>8</w:t>
            </w:r>
          </w:p>
          <w:p w14:paraId="729DAB46" w14:textId="54F8E2E7" w:rsidR="005649F8" w:rsidRPr="00AA63E3" w:rsidRDefault="005649F8" w:rsidP="005649F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AA63E3">
              <w:rPr>
                <w:rFonts w:cs="Arial"/>
              </w:rPr>
              <w:t>An injury resulting from a medical i</w:t>
            </w:r>
            <w:r w:rsidR="005F4634">
              <w:rPr>
                <w:rFonts w:cs="Arial"/>
              </w:rPr>
              <w:t>ntervention.</w:t>
            </w:r>
            <w:r w:rsidR="005F4634">
              <w:rPr>
                <w:rFonts w:cs="Arial"/>
                <w:vertAlign w:val="superscript"/>
              </w:rPr>
              <w:t>9</w:t>
            </w:r>
          </w:p>
          <w:p w14:paraId="25C09823" w14:textId="60DC0CEB" w:rsidR="005649F8" w:rsidRPr="00AA63E3" w:rsidRDefault="005649F8" w:rsidP="005649F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AA63E3">
              <w:rPr>
                <w:rFonts w:cs="Arial"/>
              </w:rPr>
              <w:t>An untoward, undesirable, and usually unanticipated event, such as death of a patient, an employee, or a visitor in a health care organization. Incidents such as patient falls or improper administration of medications are also considered adverse events even if there is no permanent effect on</w:t>
            </w:r>
            <w:r w:rsidR="007C7BEF">
              <w:rPr>
                <w:rFonts w:cs="Arial"/>
              </w:rPr>
              <w:t xml:space="preserve"> the patient.</w:t>
            </w:r>
            <w:r w:rsidR="007C7BEF">
              <w:rPr>
                <w:rFonts w:cs="Arial"/>
                <w:vertAlign w:val="superscript"/>
              </w:rPr>
              <w:t>10</w:t>
            </w:r>
          </w:p>
          <w:p w14:paraId="68994C5B" w14:textId="562C09FB" w:rsidR="005649F8" w:rsidRPr="00AA63E3" w:rsidRDefault="005649F8" w:rsidP="005649F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AA63E3">
              <w:rPr>
                <w:rFonts w:cs="Arial"/>
              </w:rPr>
              <w:t>An event or omission arising during clinical care and causing physical or psy</w:t>
            </w:r>
            <w:r w:rsidR="007C7BEF">
              <w:rPr>
                <w:rFonts w:cs="Arial"/>
              </w:rPr>
              <w:t>chological injury to a patient.</w:t>
            </w:r>
            <w:r w:rsidR="007C7BEF">
              <w:rPr>
                <w:rFonts w:cs="Arial"/>
                <w:vertAlign w:val="superscript"/>
              </w:rPr>
              <w:t>11</w:t>
            </w:r>
          </w:p>
          <w:p w14:paraId="5C133080" w14:textId="30250544" w:rsidR="005649F8" w:rsidRPr="00AA63E3" w:rsidRDefault="005649F8" w:rsidP="005649F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AA63E3">
              <w:rPr>
                <w:rFonts w:cs="Arial"/>
              </w:rPr>
              <w:t>An injury that was caused by medical management and that re</w:t>
            </w:r>
            <w:r w:rsidR="007C7BEF">
              <w:rPr>
                <w:rFonts w:cs="Arial"/>
              </w:rPr>
              <w:t>sults in measurable disability.</w:t>
            </w:r>
            <w:r w:rsidR="007C7BEF">
              <w:rPr>
                <w:rFonts w:cs="Arial"/>
                <w:vertAlign w:val="superscript"/>
              </w:rPr>
              <w:t>12</w:t>
            </w:r>
          </w:p>
        </w:tc>
      </w:tr>
      <w:tr w:rsidR="00864F49" w14:paraId="6E3FDBB4" w14:textId="77777777" w:rsidTr="00864F49">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423" w:type="dxa"/>
            <w:tcBorders>
              <w:left w:val="single" w:sz="12" w:space="0" w:color="auto"/>
              <w:right w:val="single" w:sz="12" w:space="0" w:color="auto"/>
            </w:tcBorders>
          </w:tcPr>
          <w:p w14:paraId="3495A1D2" w14:textId="5E8022D3" w:rsidR="00864F49" w:rsidRDefault="00864F49" w:rsidP="00D75A2E">
            <w:r>
              <w:t>Near Miss</w:t>
            </w:r>
          </w:p>
        </w:tc>
        <w:tc>
          <w:tcPr>
            <w:tcW w:w="9992" w:type="dxa"/>
            <w:tcBorders>
              <w:left w:val="single" w:sz="12" w:space="0" w:color="auto"/>
              <w:right w:val="single" w:sz="12" w:space="0" w:color="auto"/>
            </w:tcBorders>
          </w:tcPr>
          <w:p w14:paraId="34DC47B8" w14:textId="3DD597B3" w:rsidR="00864F49" w:rsidRPr="00864F49" w:rsidRDefault="00864F49" w:rsidP="00864F4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Patient safety incident that does not reach the </w:t>
            </w:r>
            <w:r w:rsidR="00C46353">
              <w:t>patient and does not cause harm</w:t>
            </w:r>
            <w:r w:rsidR="00C46353">
              <w:rPr>
                <w:vertAlign w:val="superscript"/>
              </w:rPr>
              <w:t>3</w:t>
            </w:r>
          </w:p>
          <w:p w14:paraId="6B6DCC34" w14:textId="2CC4C264" w:rsidR="00864F49" w:rsidRPr="00AA63E3" w:rsidRDefault="00864F49" w:rsidP="00864F49">
            <w:pPr>
              <w:pStyle w:val="ListParagraph"/>
              <w:ind w:left="360"/>
              <w:cnfStyle w:val="000000100000" w:firstRow="0" w:lastRow="0" w:firstColumn="0" w:lastColumn="0" w:oddVBand="0" w:evenVBand="0" w:oddHBand="1" w:evenHBand="0" w:firstRowFirstColumn="0" w:firstRowLastColumn="0" w:lastRowFirstColumn="0" w:lastRowLastColumn="0"/>
            </w:pPr>
          </w:p>
        </w:tc>
      </w:tr>
      <w:tr w:rsidR="00FB693E" w14:paraId="5378A0FC" w14:textId="77777777" w:rsidTr="00FB693E">
        <w:trPr>
          <w:trHeight w:val="961"/>
        </w:trPr>
        <w:tc>
          <w:tcPr>
            <w:cnfStyle w:val="001000000000" w:firstRow="0" w:lastRow="0" w:firstColumn="1" w:lastColumn="0" w:oddVBand="0" w:evenVBand="0" w:oddHBand="0" w:evenHBand="0" w:firstRowFirstColumn="0" w:firstRowLastColumn="0" w:lastRowFirstColumn="0" w:lastRowLastColumn="0"/>
            <w:tcW w:w="3423" w:type="dxa"/>
            <w:tcBorders>
              <w:left w:val="single" w:sz="12" w:space="0" w:color="auto"/>
              <w:right w:val="single" w:sz="12" w:space="0" w:color="auto"/>
            </w:tcBorders>
          </w:tcPr>
          <w:p w14:paraId="258B71A8" w14:textId="14174215" w:rsidR="00FB693E" w:rsidRPr="00D563F4" w:rsidRDefault="00C46353" w:rsidP="00D75A2E">
            <w:pPr>
              <w:rPr>
                <w:vertAlign w:val="superscript"/>
              </w:rPr>
            </w:pPr>
            <w:r>
              <w:t>Latent Failure</w:t>
            </w:r>
            <w:r>
              <w:rPr>
                <w:vertAlign w:val="superscript"/>
              </w:rPr>
              <w:t>1,</w:t>
            </w:r>
            <w:r w:rsidR="00D563F4">
              <w:rPr>
                <w:vertAlign w:val="superscript"/>
              </w:rPr>
              <w:t>13</w:t>
            </w:r>
          </w:p>
        </w:tc>
        <w:tc>
          <w:tcPr>
            <w:tcW w:w="9992" w:type="dxa"/>
            <w:tcBorders>
              <w:left w:val="single" w:sz="12" w:space="0" w:color="auto"/>
              <w:right w:val="single" w:sz="12" w:space="0" w:color="auto"/>
            </w:tcBorders>
          </w:tcPr>
          <w:p w14:paraId="07DAFFA8" w14:textId="77777777" w:rsidR="00FB693E" w:rsidRDefault="007579A9" w:rsidP="005649F8">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Weaknesses in the structure of an organization.</w:t>
            </w:r>
          </w:p>
          <w:p w14:paraId="7193F05A" w14:textId="0851EB8A" w:rsidR="00005F65" w:rsidRPr="00AA63E3" w:rsidRDefault="00005F65" w:rsidP="00005F6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Errors in the design, organization, training, or maintenance of systems that lead to operator errors and whose effects typically lie dormant in the system for lengthy periods of time</w:t>
            </w:r>
          </w:p>
        </w:tc>
      </w:tr>
      <w:tr w:rsidR="00FB693E" w14:paraId="4DB5F1F7" w14:textId="77777777" w:rsidTr="00005F65">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3423" w:type="dxa"/>
            <w:tcBorders>
              <w:left w:val="single" w:sz="12" w:space="0" w:color="auto"/>
              <w:right w:val="single" w:sz="12" w:space="0" w:color="auto"/>
            </w:tcBorders>
          </w:tcPr>
          <w:p w14:paraId="2C8F27BB" w14:textId="1CDEBDC0" w:rsidR="00FB693E" w:rsidRPr="00C46353" w:rsidRDefault="00C46353" w:rsidP="00D75A2E">
            <w:pPr>
              <w:rPr>
                <w:vertAlign w:val="superscript"/>
              </w:rPr>
            </w:pPr>
            <w:r>
              <w:t>Active Failure</w:t>
            </w:r>
          </w:p>
        </w:tc>
        <w:tc>
          <w:tcPr>
            <w:tcW w:w="9992" w:type="dxa"/>
            <w:tcBorders>
              <w:left w:val="single" w:sz="12" w:space="0" w:color="auto"/>
              <w:right w:val="single" w:sz="12" w:space="0" w:color="auto"/>
            </w:tcBorders>
          </w:tcPr>
          <w:p w14:paraId="0AF40023" w14:textId="67F617BF" w:rsidR="00FB693E" w:rsidRPr="00AA63E3" w:rsidRDefault="0000270B" w:rsidP="0056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Errors caused by individuals such as nurses, pharmacists and physicians in direct contact with the vulnerable weaknesses in the structure of an organization.</w:t>
            </w:r>
            <w:r w:rsidR="00B305DC">
              <w:rPr>
                <w:vertAlign w:val="superscript"/>
              </w:rPr>
              <w:t>1</w:t>
            </w:r>
            <w:r>
              <w:t xml:space="preserve"> </w:t>
            </w:r>
          </w:p>
        </w:tc>
      </w:tr>
      <w:tr w:rsidR="00005F65" w14:paraId="3C3D831E" w14:textId="77777777" w:rsidTr="00FB693E">
        <w:trPr>
          <w:trHeight w:val="979"/>
        </w:trPr>
        <w:tc>
          <w:tcPr>
            <w:cnfStyle w:val="001000000000" w:firstRow="0" w:lastRow="0" w:firstColumn="1" w:lastColumn="0" w:oddVBand="0" w:evenVBand="0" w:oddHBand="0" w:evenHBand="0" w:firstRowFirstColumn="0" w:firstRowLastColumn="0" w:lastRowFirstColumn="0" w:lastRowLastColumn="0"/>
            <w:tcW w:w="3423" w:type="dxa"/>
            <w:tcBorders>
              <w:left w:val="single" w:sz="12" w:space="0" w:color="auto"/>
              <w:bottom w:val="single" w:sz="12" w:space="0" w:color="auto"/>
              <w:right w:val="single" w:sz="12" w:space="0" w:color="auto"/>
            </w:tcBorders>
          </w:tcPr>
          <w:p w14:paraId="368522DC" w14:textId="4E8DEF14" w:rsidR="00005F65" w:rsidRPr="00D563F4" w:rsidRDefault="00005F65" w:rsidP="00D75A2E">
            <w:pPr>
              <w:rPr>
                <w:vertAlign w:val="superscript"/>
              </w:rPr>
            </w:pPr>
            <w:r w:rsidRPr="00005F65">
              <w:t>Inattentional blindness</w:t>
            </w:r>
            <w:r w:rsidR="00D563F4">
              <w:rPr>
                <w:vertAlign w:val="superscript"/>
              </w:rPr>
              <w:t>13</w:t>
            </w:r>
          </w:p>
        </w:tc>
        <w:tc>
          <w:tcPr>
            <w:tcW w:w="9992" w:type="dxa"/>
            <w:tcBorders>
              <w:left w:val="single" w:sz="12" w:space="0" w:color="auto"/>
              <w:bottom w:val="single" w:sz="12" w:space="0" w:color="auto"/>
              <w:right w:val="single" w:sz="12" w:space="0" w:color="auto"/>
            </w:tcBorders>
          </w:tcPr>
          <w:p w14:paraId="2C971CED" w14:textId="36F4CBD7" w:rsidR="00005F65" w:rsidRDefault="00005F65" w:rsidP="00005F65">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 xml:space="preserve">The phenomenon of not being able to see things that are actually there. This can be a result of having no internal frame of reference to perceive the unseen objects, or it can be the result of the mental focus or attention that causes mental distractions. The phenomenon is due to how our minds see and process information.  Also known as perceptual blindness. </w:t>
            </w:r>
          </w:p>
        </w:tc>
      </w:tr>
    </w:tbl>
    <w:p w14:paraId="594AF5E9" w14:textId="1502D49A" w:rsidR="00A51F46" w:rsidRDefault="00A51F46" w:rsidP="00923098">
      <w:pPr>
        <w:ind w:left="360"/>
      </w:pPr>
    </w:p>
    <w:p w14:paraId="28A2D41D" w14:textId="09B030E8" w:rsidR="00A51F46" w:rsidRDefault="00A51F46" w:rsidP="00923098">
      <w:pPr>
        <w:ind w:left="360"/>
      </w:pPr>
    </w:p>
    <w:p w14:paraId="4750FBFD" w14:textId="08DFEC3C" w:rsidR="00A51F46" w:rsidRDefault="00A51F46" w:rsidP="00923098">
      <w:pPr>
        <w:ind w:left="360"/>
      </w:pPr>
    </w:p>
    <w:p w14:paraId="11766CAD" w14:textId="0733E924" w:rsidR="00A51F46" w:rsidRDefault="00A51F46" w:rsidP="00923098">
      <w:pPr>
        <w:ind w:left="360"/>
      </w:pPr>
    </w:p>
    <w:p w14:paraId="6D83B7B5" w14:textId="712B8C58" w:rsidR="00A51F46" w:rsidRDefault="00A51F46" w:rsidP="00923098">
      <w:pPr>
        <w:ind w:left="360"/>
      </w:pPr>
    </w:p>
    <w:p w14:paraId="2EB3F3E5" w14:textId="77777777" w:rsidR="00A51F46" w:rsidRDefault="00A51F46" w:rsidP="00923098">
      <w:pPr>
        <w:ind w:left="360"/>
      </w:pPr>
    </w:p>
    <w:p w14:paraId="50895501" w14:textId="77777777" w:rsidR="00A51F46" w:rsidRDefault="00A51F46" w:rsidP="00923098">
      <w:pPr>
        <w:ind w:left="360"/>
      </w:pPr>
    </w:p>
    <w:p w14:paraId="163FE7A5" w14:textId="77777777" w:rsidR="00923098" w:rsidRDefault="00923098" w:rsidP="00923098">
      <w:pPr>
        <w:ind w:left="360"/>
      </w:pPr>
    </w:p>
    <w:p w14:paraId="7C733304" w14:textId="65C9F082" w:rsidR="008F5F6D" w:rsidRPr="00D21AFF" w:rsidRDefault="00ED0838" w:rsidP="00B07ABC">
      <w:pPr>
        <w:numPr>
          <w:ilvl w:val="0"/>
          <w:numId w:val="3"/>
        </w:numPr>
        <w:shd w:val="clear" w:color="auto" w:fill="D9D9D9" w:themeFill="background1" w:themeFillShade="D9"/>
        <w:rPr>
          <w:b/>
        </w:rPr>
      </w:pPr>
      <w:r w:rsidRPr="00D21AFF">
        <w:rPr>
          <w:b/>
        </w:rPr>
        <w:lastRenderedPageBreak/>
        <w:t xml:space="preserve">Background/ Statistics/Perspective </w:t>
      </w:r>
    </w:p>
    <w:p w14:paraId="728730DA" w14:textId="49624CC7" w:rsidR="00814078" w:rsidRDefault="00A02916" w:rsidP="003D08B4">
      <w:pPr>
        <w:ind w:left="1080"/>
      </w:pPr>
      <w:r>
        <w:t xml:space="preserve">In the year 2000, when Albert Wu coined the term “second victim,” he stated that physicians will always make mistakes and the deciding factor will be how we choose to handle these mistakes.  </w:t>
      </w:r>
      <w:r w:rsidR="00A04DDC">
        <w:t xml:space="preserve">He </w:t>
      </w:r>
      <w:r w:rsidR="00D01075">
        <w:t>noted</w:t>
      </w:r>
      <w:r w:rsidR="00A04DDC">
        <w:t xml:space="preserve"> honesty would</w:t>
      </w:r>
      <w:r>
        <w:t xml:space="preserve"> </w:t>
      </w:r>
      <w:r w:rsidR="00D01075">
        <w:t>serve not only</w:t>
      </w:r>
      <w:r>
        <w:t xml:space="preserve"> patient’s sa</w:t>
      </w:r>
      <w:r w:rsidR="00D01075">
        <w:t>fety but also physician</w:t>
      </w:r>
      <w:r w:rsidR="00E76D2E">
        <w:t xml:space="preserve"> welfare</w:t>
      </w:r>
      <w:r>
        <w:t>.</w:t>
      </w:r>
      <w:r w:rsidR="00E76D2E">
        <w:rPr>
          <w:vertAlign w:val="superscript"/>
        </w:rPr>
        <w:t>6</w:t>
      </w:r>
      <w:r>
        <w:t xml:space="preserve">  </w:t>
      </w:r>
      <w:r w:rsidR="00D01075">
        <w:t xml:space="preserve">Second victims are the healthcare professionals involved in </w:t>
      </w:r>
      <w:r w:rsidR="006A67AE">
        <w:t>unforeseen adverse events that</w:t>
      </w:r>
      <w:r w:rsidR="00184A8C">
        <w:t xml:space="preserve"> feel traumatized by the event.</w:t>
      </w:r>
      <w:r w:rsidR="00184A8C">
        <w:rPr>
          <w:vertAlign w:val="superscript"/>
        </w:rPr>
        <w:t>4,5</w:t>
      </w:r>
      <w:r w:rsidR="006A67AE">
        <w:t xml:space="preserve">  These professionals can experience stress-related psychological and physical</w:t>
      </w:r>
      <w:r w:rsidR="00AC272F">
        <w:t xml:space="preserve"> reactions.</w:t>
      </w:r>
      <w:r w:rsidR="00AC272F">
        <w:rPr>
          <w:vertAlign w:val="superscript"/>
        </w:rPr>
        <w:t>14</w:t>
      </w:r>
      <w:r w:rsidR="006A67AE">
        <w:rPr>
          <w:vertAlign w:val="superscript"/>
        </w:rPr>
        <w:t xml:space="preserve">  </w:t>
      </w:r>
      <w:r w:rsidR="006A67AE">
        <w:t>Manifestations include sadness, fear, anger and shame and can include fear of returning to work, loss of c</w:t>
      </w:r>
      <w:r w:rsidR="00FE1ECE">
        <w:t>onfidence, depression</w:t>
      </w:r>
      <w:r w:rsidR="006A67AE">
        <w:t xml:space="preserve">, </w:t>
      </w:r>
      <w:r w:rsidR="00FE1ECE">
        <w:t xml:space="preserve">nervousness, guilt, worry, remorse </w:t>
      </w:r>
      <w:r w:rsidR="00AC272F">
        <w:t>and anguish.</w:t>
      </w:r>
      <w:r w:rsidR="00AC272F">
        <w:rPr>
          <w:vertAlign w:val="superscript"/>
        </w:rPr>
        <w:t>14</w:t>
      </w:r>
      <w:r w:rsidR="003D08B4">
        <w:t xml:space="preserve"> While health care facilities have systems in place to report and review adverse events, and many conferences discuss events, </w:t>
      </w:r>
      <w:r>
        <w:t>it is only to examine the medical facts and not the feelings</w:t>
      </w:r>
      <w:r w:rsidR="00D01075">
        <w:t xml:space="preserve"> of thos</w:t>
      </w:r>
      <w:r w:rsidR="003D08B4">
        <w:t xml:space="preserve">e </w:t>
      </w:r>
      <w:r w:rsidR="003D08B4" w:rsidRPr="001D26BF">
        <w:t>involved</w:t>
      </w:r>
      <w:r w:rsidRPr="001D26BF">
        <w:t>.</w:t>
      </w:r>
      <w:r w:rsidR="001D26BF" w:rsidRPr="001D26BF">
        <w:rPr>
          <w:vertAlign w:val="superscript"/>
        </w:rPr>
        <w:t>6</w:t>
      </w:r>
      <w:r>
        <w:t xml:space="preserve">  In a self-reported survey, a systematic random sample of nurses, pharmacists and physicians reported that 40.8% felt that </w:t>
      </w:r>
      <w:r w:rsidR="006A73A1">
        <w:t xml:space="preserve">a </w:t>
      </w:r>
      <w:r>
        <w:t xml:space="preserve">patient care error left a harmful </w:t>
      </w:r>
      <w:r w:rsidR="00184A8C">
        <w:t>effect on their personal lives.</w:t>
      </w:r>
      <w:r w:rsidR="00184A8C">
        <w:rPr>
          <w:vertAlign w:val="superscript"/>
        </w:rPr>
        <w:t>4</w:t>
      </w:r>
      <w:r w:rsidR="00E76D2E">
        <w:rPr>
          <w:vertAlign w:val="superscript"/>
        </w:rPr>
        <w:t>,6</w:t>
      </w:r>
      <w:r>
        <w:t xml:space="preserve">   </w:t>
      </w:r>
      <w:r w:rsidR="002241EA">
        <w:t>Healthcare professionals experiencing a negative emotional response following an event has been estimated to be 30% in the US and 43% in Canada.</w:t>
      </w:r>
      <w:r w:rsidR="00C46353">
        <w:rPr>
          <w:vertAlign w:val="superscript"/>
        </w:rPr>
        <w:t>3</w:t>
      </w:r>
      <w:r w:rsidR="00814078">
        <w:t xml:space="preserve">  Many surveys and studies have been conducted in various healthcare populations over the </w:t>
      </w:r>
      <w:r w:rsidR="00814078" w:rsidRPr="009360C7">
        <w:t xml:space="preserve">last </w:t>
      </w:r>
      <w:r w:rsidR="009360C7" w:rsidRPr="009360C7">
        <w:t>two decades</w:t>
      </w:r>
      <w:r w:rsidR="00814078">
        <w:t xml:space="preserve"> and give us insight to the frequency, impact and lasting effects these errors have on healthcare professionals</w:t>
      </w:r>
      <w:r w:rsidR="005D38B3">
        <w:t xml:space="preserve"> as well as the barriers we must face to address the second victim phenomenon.</w:t>
      </w:r>
    </w:p>
    <w:p w14:paraId="4A9CD26F" w14:textId="0DF47289" w:rsidR="002C4931" w:rsidRDefault="002C4931" w:rsidP="005D38B3"/>
    <w:tbl>
      <w:tblPr>
        <w:tblStyle w:val="TableGrid"/>
        <w:tblW w:w="0" w:type="auto"/>
        <w:tblInd w:w="535" w:type="dxa"/>
        <w:tblLook w:val="04A0" w:firstRow="1" w:lastRow="0" w:firstColumn="1" w:lastColumn="0" w:noHBand="0" w:noVBand="1"/>
      </w:tblPr>
      <w:tblGrid>
        <w:gridCol w:w="2605"/>
        <w:gridCol w:w="10895"/>
      </w:tblGrid>
      <w:tr w:rsidR="00FD77A0" w14:paraId="1E0B3978" w14:textId="77777777" w:rsidTr="00A51F46">
        <w:tc>
          <w:tcPr>
            <w:tcW w:w="2605" w:type="dxa"/>
            <w:shd w:val="clear" w:color="auto" w:fill="E5DFEC" w:themeFill="accent4" w:themeFillTint="33"/>
          </w:tcPr>
          <w:p w14:paraId="6C2C2FFB" w14:textId="132ED1A2" w:rsidR="00FD77A0" w:rsidRPr="003A3993" w:rsidRDefault="00FD77A0" w:rsidP="00D60774">
            <w:pPr>
              <w:rPr>
                <w:b/>
              </w:rPr>
            </w:pPr>
            <w:r w:rsidRPr="003A3993">
              <w:rPr>
                <w:b/>
              </w:rPr>
              <w:t>Year Published</w:t>
            </w:r>
          </w:p>
        </w:tc>
        <w:tc>
          <w:tcPr>
            <w:tcW w:w="10895" w:type="dxa"/>
            <w:shd w:val="clear" w:color="auto" w:fill="E5DFEC" w:themeFill="accent4" w:themeFillTint="33"/>
          </w:tcPr>
          <w:p w14:paraId="7639AF69" w14:textId="67581720" w:rsidR="00FD77A0" w:rsidRPr="003A3993" w:rsidRDefault="003A3993" w:rsidP="00D60774">
            <w:pPr>
              <w:rPr>
                <w:b/>
              </w:rPr>
            </w:pPr>
            <w:r w:rsidRPr="003A3993">
              <w:rPr>
                <w:b/>
              </w:rPr>
              <w:t>Survey Reported</w:t>
            </w:r>
          </w:p>
        </w:tc>
      </w:tr>
      <w:tr w:rsidR="00FD77A0" w14:paraId="7FF93F05" w14:textId="77777777" w:rsidTr="00FD4D0F">
        <w:tc>
          <w:tcPr>
            <w:tcW w:w="2605" w:type="dxa"/>
            <w:vAlign w:val="center"/>
          </w:tcPr>
          <w:p w14:paraId="2FA880D8" w14:textId="3E423180" w:rsidR="00FD77A0" w:rsidRPr="007739EB" w:rsidRDefault="007739EB" w:rsidP="00D60774">
            <w:pPr>
              <w:rPr>
                <w:vertAlign w:val="superscript"/>
              </w:rPr>
            </w:pPr>
            <w:r>
              <w:t>2007</w:t>
            </w:r>
          </w:p>
        </w:tc>
        <w:tc>
          <w:tcPr>
            <w:tcW w:w="10895" w:type="dxa"/>
          </w:tcPr>
          <w:p w14:paraId="6E63A68C" w14:textId="0C71D006" w:rsidR="00FD77A0" w:rsidRPr="007739EB" w:rsidRDefault="00FD77A0" w:rsidP="007739EB">
            <w:pPr>
              <w:rPr>
                <w:vertAlign w:val="superscript"/>
              </w:rPr>
            </w:pPr>
            <w:r>
              <w:t>Over 3000 physicians reported that 61% had anxiety about future errors, 44% had loss of confidence, 42% had sleeping difficulties, 42% had reduced job satisfaction and 13% felt harm to their reputation following medical errors</w:t>
            </w:r>
            <w:r w:rsidR="007739EB">
              <w:t>.</w:t>
            </w:r>
            <w:r w:rsidR="007739EB">
              <w:rPr>
                <w:vertAlign w:val="superscript"/>
              </w:rPr>
              <w:t>15</w:t>
            </w:r>
          </w:p>
        </w:tc>
      </w:tr>
      <w:tr w:rsidR="00FD77A0" w14:paraId="43A77781" w14:textId="77777777" w:rsidTr="00FD4D0F">
        <w:tc>
          <w:tcPr>
            <w:tcW w:w="2605" w:type="dxa"/>
            <w:vAlign w:val="center"/>
          </w:tcPr>
          <w:p w14:paraId="17F38DE4" w14:textId="2078E7D1" w:rsidR="00FD77A0" w:rsidRDefault="009D3DDD" w:rsidP="009D3DDD">
            <w:r>
              <w:t>2009</w:t>
            </w:r>
          </w:p>
        </w:tc>
        <w:tc>
          <w:tcPr>
            <w:tcW w:w="10895" w:type="dxa"/>
          </w:tcPr>
          <w:p w14:paraId="75972D08" w14:textId="00A0C172" w:rsidR="00FD77A0" w:rsidRPr="00E83E79" w:rsidRDefault="00FD77A0" w:rsidP="00D60774">
            <w:pPr>
              <w:rPr>
                <w:vertAlign w:val="superscript"/>
              </w:rPr>
            </w:pPr>
            <w:r w:rsidRPr="00E83E79">
              <w:t>Patient Safety Culture Survey at UMHC found almost 1 in 7 of staff (175/1160) reported they had experienced a patient safety event within the last year that caused personal problems such as anxiety, depression, or concerns about the ability to perform one’s job.  An overwhelming 68% of these reported they did not received institutional support to assist with this stress.</w:t>
            </w:r>
            <w:r w:rsidR="009D3DDD" w:rsidRPr="00E83E79">
              <w:rPr>
                <w:vertAlign w:val="superscript"/>
              </w:rPr>
              <w:t>16</w:t>
            </w:r>
          </w:p>
        </w:tc>
      </w:tr>
      <w:tr w:rsidR="00FD77A0" w14:paraId="4E02B063" w14:textId="77777777" w:rsidTr="00FD4D0F">
        <w:tc>
          <w:tcPr>
            <w:tcW w:w="2605" w:type="dxa"/>
            <w:vAlign w:val="center"/>
          </w:tcPr>
          <w:p w14:paraId="0AA06369" w14:textId="6D32A8E3" w:rsidR="00FD77A0" w:rsidRDefault="00117310" w:rsidP="00D60774">
            <w:r>
              <w:t>2015</w:t>
            </w:r>
          </w:p>
        </w:tc>
        <w:tc>
          <w:tcPr>
            <w:tcW w:w="10895" w:type="dxa"/>
          </w:tcPr>
          <w:p w14:paraId="46127AED" w14:textId="34189987" w:rsidR="00FD77A0" w:rsidRPr="00E83E79" w:rsidRDefault="00FD77A0" w:rsidP="00D60774">
            <w:pPr>
              <w:rPr>
                <w:vertAlign w:val="superscript"/>
              </w:rPr>
            </w:pPr>
            <w:r w:rsidRPr="00E83E79">
              <w:t>Community hospital survey (650 bed adult and pedi facility with a level 1 trauma center) had 120 respondents and over 60% disclosed that they felt fear of retribution in reporting a PSE (patient safety event).</w:t>
            </w:r>
            <w:r w:rsidR="00117310" w:rsidRPr="00E83E79">
              <w:rPr>
                <w:vertAlign w:val="superscript"/>
              </w:rPr>
              <w:t>17</w:t>
            </w:r>
          </w:p>
        </w:tc>
      </w:tr>
      <w:tr w:rsidR="00FD77A0" w14:paraId="7E3C1FAC" w14:textId="77777777" w:rsidTr="00FD4D0F">
        <w:tc>
          <w:tcPr>
            <w:tcW w:w="2605" w:type="dxa"/>
            <w:vAlign w:val="center"/>
          </w:tcPr>
          <w:p w14:paraId="6A9B4A5D" w14:textId="041DE860" w:rsidR="00FD77A0" w:rsidRDefault="005703B9" w:rsidP="00D60774">
            <w:r>
              <w:t>2015</w:t>
            </w:r>
          </w:p>
        </w:tc>
        <w:tc>
          <w:tcPr>
            <w:tcW w:w="10895" w:type="dxa"/>
          </w:tcPr>
          <w:p w14:paraId="6280B211" w14:textId="603D9CC6" w:rsidR="00FD77A0" w:rsidRPr="00E83E79" w:rsidRDefault="00FD77A0" w:rsidP="00D60774">
            <w:pPr>
              <w:rPr>
                <w:vertAlign w:val="superscript"/>
              </w:rPr>
            </w:pPr>
            <w:r w:rsidRPr="00E83E79">
              <w:t>A survey conducted in Spain to assess second and third victim support or crisis management in health organizations and primary care offices.  The study concluded the majority of health organizations have reporting systems, but lack subsequent systemic analysis of reported events in comparison to primary care settings that highlight failures in both reporting and assessments of adverse events.  It was reported most organizations did not have a crisis plan in place for serious events for third victim protection.</w:t>
            </w:r>
            <w:r w:rsidR="005703B9" w:rsidRPr="00E83E79">
              <w:rPr>
                <w:vertAlign w:val="superscript"/>
              </w:rPr>
              <w:t>18</w:t>
            </w:r>
          </w:p>
        </w:tc>
      </w:tr>
      <w:tr w:rsidR="00FD4D0F" w14:paraId="3BD15079" w14:textId="77777777" w:rsidTr="00FD4D0F">
        <w:tc>
          <w:tcPr>
            <w:tcW w:w="2605" w:type="dxa"/>
            <w:vMerge w:val="restart"/>
            <w:vAlign w:val="center"/>
          </w:tcPr>
          <w:p w14:paraId="1CE20749" w14:textId="5F23443D" w:rsidR="00FD4D0F" w:rsidRDefault="00FD4D0F" w:rsidP="00D60774">
            <w:r>
              <w:t>2017</w:t>
            </w:r>
          </w:p>
        </w:tc>
        <w:tc>
          <w:tcPr>
            <w:tcW w:w="10895" w:type="dxa"/>
          </w:tcPr>
          <w:p w14:paraId="263E3704" w14:textId="66FA4372" w:rsidR="00FD4D0F" w:rsidRPr="001E231C" w:rsidRDefault="00FD4D0F" w:rsidP="003A3993">
            <w:pPr>
              <w:rPr>
                <w:vertAlign w:val="superscript"/>
              </w:rPr>
            </w:pPr>
            <w:r>
              <w:t>A q</w:t>
            </w:r>
            <w:r w:rsidRPr="0075190C">
              <w:t xml:space="preserve">uestionnaire </w:t>
            </w:r>
            <w:r>
              <w:t>assessing</w:t>
            </w:r>
            <w:r w:rsidRPr="0075190C">
              <w:t xml:space="preserve"> the perceived need for organizational support for second victims in acute care hospitals in Maryland from the perspectives of patient safety representatives</w:t>
            </w:r>
            <w:r>
              <w:t xml:space="preserve"> showed o</w:t>
            </w:r>
            <w:r w:rsidRPr="0075190C">
              <w:t xml:space="preserve">ver 80% of respondents stated that the second victim problem was </w:t>
            </w:r>
            <w:r>
              <w:t xml:space="preserve">relevant.  </w:t>
            </w:r>
            <w:r w:rsidRPr="0075190C">
              <w:t>Barriers noted to starting a second victim program included funding, stigma, trust and concerns about confidentiality, lack of interest of staff, and unclear of best practice</w:t>
            </w:r>
            <w:r>
              <w:t>.</w:t>
            </w:r>
            <w:r>
              <w:rPr>
                <w:vertAlign w:val="superscript"/>
              </w:rPr>
              <w:t>19</w:t>
            </w:r>
          </w:p>
        </w:tc>
      </w:tr>
      <w:tr w:rsidR="00FD4D0F" w14:paraId="36871C4E" w14:textId="77777777" w:rsidTr="00A51F46">
        <w:tc>
          <w:tcPr>
            <w:tcW w:w="2605" w:type="dxa"/>
            <w:vMerge/>
          </w:tcPr>
          <w:p w14:paraId="25BD63CB" w14:textId="79DFF587" w:rsidR="00FD4D0F" w:rsidRDefault="00FD4D0F" w:rsidP="00D60774"/>
        </w:tc>
        <w:tc>
          <w:tcPr>
            <w:tcW w:w="10895" w:type="dxa"/>
          </w:tcPr>
          <w:p w14:paraId="6DAA3A2F" w14:textId="0E216486" w:rsidR="00FD4D0F" w:rsidRPr="00FD4D0F" w:rsidRDefault="00FD4D0F" w:rsidP="00D60774">
            <w:pPr>
              <w:rPr>
                <w:vertAlign w:val="superscript"/>
              </w:rPr>
            </w:pPr>
            <w:r w:rsidRPr="000A7C1E">
              <w:t>A cross-sectional online survey in the NICU compared responses of three groups (no event, observation of event, involvement in event) in relation to anxiety, depression, professional quality of life and coworker support.  Higher levels of anxiety and secondary traumatic stress were reported in those who observed or were involved in an error or adverse event.  Coworker support may mitigate negative outcomes such as increased emotional distress and effects on their professional life.</w:t>
            </w:r>
            <w:r>
              <w:rPr>
                <w:vertAlign w:val="superscript"/>
              </w:rPr>
              <w:t>20</w:t>
            </w:r>
          </w:p>
        </w:tc>
      </w:tr>
    </w:tbl>
    <w:p w14:paraId="55826A7B" w14:textId="77777777" w:rsidR="00431861" w:rsidRDefault="00431861" w:rsidP="0088091F">
      <w:pPr>
        <w:pStyle w:val="ListParagraph"/>
        <w:ind w:left="1800"/>
      </w:pPr>
    </w:p>
    <w:tbl>
      <w:tblPr>
        <w:tblStyle w:val="TableGrid"/>
        <w:tblW w:w="0" w:type="auto"/>
        <w:tblInd w:w="535" w:type="dxa"/>
        <w:tblLook w:val="04A0" w:firstRow="1" w:lastRow="0" w:firstColumn="1" w:lastColumn="0" w:noHBand="0" w:noVBand="1"/>
      </w:tblPr>
      <w:tblGrid>
        <w:gridCol w:w="2605"/>
        <w:gridCol w:w="10985"/>
      </w:tblGrid>
      <w:tr w:rsidR="003A3993" w14:paraId="69A3F998" w14:textId="77777777" w:rsidTr="00A51F46">
        <w:tc>
          <w:tcPr>
            <w:tcW w:w="2605" w:type="dxa"/>
            <w:shd w:val="clear" w:color="auto" w:fill="E5DFEC" w:themeFill="accent4" w:themeFillTint="33"/>
          </w:tcPr>
          <w:p w14:paraId="55ABC1C9" w14:textId="3D46DDA8" w:rsidR="003A3993" w:rsidRPr="003A3993" w:rsidRDefault="003A3993" w:rsidP="00D60774">
            <w:pPr>
              <w:rPr>
                <w:b/>
              </w:rPr>
            </w:pPr>
            <w:r w:rsidRPr="003A3993">
              <w:rPr>
                <w:b/>
              </w:rPr>
              <w:t xml:space="preserve">Year Published </w:t>
            </w:r>
          </w:p>
        </w:tc>
        <w:tc>
          <w:tcPr>
            <w:tcW w:w="10985" w:type="dxa"/>
            <w:shd w:val="clear" w:color="auto" w:fill="E5DFEC" w:themeFill="accent4" w:themeFillTint="33"/>
          </w:tcPr>
          <w:p w14:paraId="39360D2B" w14:textId="5FC63EB0" w:rsidR="003A3993" w:rsidRPr="003A3993" w:rsidRDefault="003A3993" w:rsidP="00D60774">
            <w:pPr>
              <w:rPr>
                <w:b/>
              </w:rPr>
            </w:pPr>
            <w:r w:rsidRPr="003A3993">
              <w:rPr>
                <w:b/>
              </w:rPr>
              <w:t xml:space="preserve">Study Reported </w:t>
            </w:r>
          </w:p>
        </w:tc>
      </w:tr>
      <w:tr w:rsidR="003A3993" w14:paraId="60E61481" w14:textId="77777777" w:rsidTr="00A51F46">
        <w:tc>
          <w:tcPr>
            <w:tcW w:w="2605" w:type="dxa"/>
          </w:tcPr>
          <w:p w14:paraId="52AB274A" w14:textId="6C20A9D7" w:rsidR="003A3993" w:rsidRDefault="003A3993" w:rsidP="00D60774">
            <w:r>
              <w:t>2010</w:t>
            </w:r>
            <w:r w:rsidR="0093130E">
              <w:rPr>
                <w:vertAlign w:val="superscript"/>
              </w:rPr>
              <w:t>4.5</w:t>
            </w:r>
            <w:r w:rsidR="0093130E">
              <w:t xml:space="preserve"> </w:t>
            </w:r>
          </w:p>
        </w:tc>
        <w:tc>
          <w:tcPr>
            <w:tcW w:w="10985" w:type="dxa"/>
          </w:tcPr>
          <w:p w14:paraId="0B0F3161" w14:textId="0592FE12" w:rsidR="003A3993" w:rsidRDefault="009B5A70" w:rsidP="00D83625">
            <w:r>
              <w:t>Thirty percent</w:t>
            </w:r>
            <w:r w:rsidR="003A3993" w:rsidRPr="002C4931">
              <w:t xml:space="preserve"> of 5000 respondents (physicians, nurses, and medical students) reported personal problems as a result of a clinical patient safety event in the past year.  Fifteen percent contemplated leaving their profession.  </w:t>
            </w:r>
          </w:p>
        </w:tc>
      </w:tr>
      <w:tr w:rsidR="003A3993" w14:paraId="63048172" w14:textId="77777777" w:rsidTr="00A51F46">
        <w:tc>
          <w:tcPr>
            <w:tcW w:w="2605" w:type="dxa"/>
          </w:tcPr>
          <w:p w14:paraId="75AD7087" w14:textId="15BAF38E" w:rsidR="003A3993" w:rsidRDefault="00607644" w:rsidP="00D60774">
            <w:r>
              <w:t>2016</w:t>
            </w:r>
          </w:p>
        </w:tc>
        <w:tc>
          <w:tcPr>
            <w:tcW w:w="10985" w:type="dxa"/>
          </w:tcPr>
          <w:p w14:paraId="19C2D8D1" w14:textId="1A285EB2" w:rsidR="003A3993" w:rsidRPr="00607644" w:rsidRDefault="00B43C46" w:rsidP="00D60774">
            <w:pPr>
              <w:rPr>
                <w:vertAlign w:val="superscript"/>
              </w:rPr>
            </w:pPr>
            <w:r w:rsidRPr="00B43C46">
              <w:t>Study conducted with nursing staff at one hospital to assess the impact a patient safety culture can have on second victim related distress using the Agency for HealthCare Research and Quality (AHRQ) Hospital Survey on Patient Culture (HCOPSC) and the Second Victim Experience and Support Tool (SVEST).  The study concluded that having a non-punitive patient safety culture can increase the support for health care workers involved in a patient safety event potentially reducing or preventing distress associated with these events.  The study supports that a punitive safety culture may contribute to self-reported second victim distress potentially caused by a lack of organiza</w:t>
            </w:r>
            <w:r>
              <w:t>tional support.</w:t>
            </w:r>
            <w:r w:rsidR="00607644">
              <w:rPr>
                <w:vertAlign w:val="superscript"/>
              </w:rPr>
              <w:t>21</w:t>
            </w:r>
          </w:p>
        </w:tc>
      </w:tr>
      <w:tr w:rsidR="003A3993" w14:paraId="293A1190" w14:textId="77777777" w:rsidTr="00A51F46">
        <w:tc>
          <w:tcPr>
            <w:tcW w:w="2605" w:type="dxa"/>
            <w:tcBorders>
              <w:bottom w:val="single" w:sz="4" w:space="0" w:color="auto"/>
            </w:tcBorders>
          </w:tcPr>
          <w:p w14:paraId="3EE6E31B" w14:textId="3162699D" w:rsidR="003A3993" w:rsidRDefault="00174F41" w:rsidP="00D60774">
            <w:r>
              <w:t>2017</w:t>
            </w:r>
          </w:p>
        </w:tc>
        <w:tc>
          <w:tcPr>
            <w:tcW w:w="10985" w:type="dxa"/>
            <w:tcBorders>
              <w:bottom w:val="single" w:sz="4" w:space="0" w:color="auto"/>
            </w:tcBorders>
          </w:tcPr>
          <w:p w14:paraId="3AA363D7" w14:textId="2307B351" w:rsidR="003A3993" w:rsidRPr="00174F41" w:rsidRDefault="00B43C46" w:rsidP="00D60774">
            <w:pPr>
              <w:rPr>
                <w:vertAlign w:val="superscript"/>
              </w:rPr>
            </w:pPr>
            <w:r>
              <w:t>A</w:t>
            </w:r>
            <w:r w:rsidRPr="00060BA4">
              <w:t xml:space="preserve"> cohort of academic surgeons in Boston describe</w:t>
            </w:r>
            <w:r>
              <w:t>d</w:t>
            </w:r>
            <w:r w:rsidRPr="00060BA4">
              <w:t xml:space="preserve"> their experiences with intraoperative adverse events and the emotional impact these events had on them. The responses of over 125 surgeons provide</w:t>
            </w:r>
            <w:r>
              <w:t>d</w:t>
            </w:r>
            <w:r w:rsidRPr="00060BA4">
              <w:t xml:space="preserve"> alarming insight into the distress faced by many of our colleagues when things go wrong in their OR. Over 90% of respondents reported experiencing an intraoperative adverse event, most commonly within the last year.</w:t>
            </w:r>
            <w:r w:rsidR="00174F41">
              <w:rPr>
                <w:vertAlign w:val="superscript"/>
              </w:rPr>
              <w:t>22</w:t>
            </w:r>
          </w:p>
        </w:tc>
      </w:tr>
      <w:tr w:rsidR="003A3993" w14:paraId="2E0A7FA5" w14:textId="77777777" w:rsidTr="00A51F46">
        <w:tc>
          <w:tcPr>
            <w:tcW w:w="2605" w:type="dxa"/>
            <w:tcBorders>
              <w:top w:val="single" w:sz="4" w:space="0" w:color="auto"/>
              <w:left w:val="single" w:sz="4" w:space="0" w:color="auto"/>
              <w:bottom w:val="single" w:sz="4" w:space="0" w:color="auto"/>
              <w:right w:val="single" w:sz="4" w:space="0" w:color="auto"/>
            </w:tcBorders>
          </w:tcPr>
          <w:p w14:paraId="33C08EB7" w14:textId="17AEB864" w:rsidR="003A3993" w:rsidRDefault="00C4710A" w:rsidP="00D60774">
            <w:r>
              <w:t>2017</w:t>
            </w:r>
          </w:p>
        </w:tc>
        <w:tc>
          <w:tcPr>
            <w:tcW w:w="10985" w:type="dxa"/>
            <w:tcBorders>
              <w:top w:val="single" w:sz="4" w:space="0" w:color="auto"/>
              <w:left w:val="single" w:sz="4" w:space="0" w:color="auto"/>
              <w:bottom w:val="single" w:sz="4" w:space="0" w:color="auto"/>
              <w:right w:val="single" w:sz="4" w:space="0" w:color="auto"/>
            </w:tcBorders>
          </w:tcPr>
          <w:p w14:paraId="154B54DE" w14:textId="5C066B8B" w:rsidR="00B43C46" w:rsidRPr="00C46353" w:rsidRDefault="00B43C46" w:rsidP="00B43C46">
            <w:pPr>
              <w:rPr>
                <w:vertAlign w:val="superscript"/>
              </w:rPr>
            </w:pPr>
            <w:r>
              <w:t>S</w:t>
            </w:r>
            <w:r w:rsidRPr="00B43C46">
              <w:t>tudy to develop and access an online awareness and information program targeting healthcare professionals in direct contact with patients (both hospital and primary care).  The MISE (Mitigating Impact in Second Victims) Program is preventative in nature and allows easy online access to knowledge which allows users to correct their own approach. MISE was well received among healthcare professionals.  Specific Objectives</w:t>
            </w:r>
            <w:r w:rsidR="00C46353">
              <w:t xml:space="preserve"> of MISE include the following:</w:t>
            </w:r>
            <w:r w:rsidR="00C46353">
              <w:rPr>
                <w:vertAlign w:val="superscript"/>
              </w:rPr>
              <w:t>3</w:t>
            </w:r>
          </w:p>
          <w:p w14:paraId="06038784" w14:textId="77777777" w:rsidR="00B43C46" w:rsidRPr="00B43C46" w:rsidRDefault="00B43C46" w:rsidP="00D21AFF">
            <w:pPr>
              <w:numPr>
                <w:ilvl w:val="1"/>
                <w:numId w:val="9"/>
              </w:numPr>
            </w:pPr>
            <w:r w:rsidRPr="00B43C46">
              <w:t>Facilitate information and training about second victims (for a large number of healthcare professionals at low cost)</w:t>
            </w:r>
          </w:p>
          <w:p w14:paraId="507295A3" w14:textId="77777777" w:rsidR="00B43C46" w:rsidRPr="00B43C46" w:rsidRDefault="00B43C46" w:rsidP="00D21AFF">
            <w:pPr>
              <w:numPr>
                <w:ilvl w:val="1"/>
                <w:numId w:val="9"/>
              </w:numPr>
            </w:pPr>
            <w:r w:rsidRPr="00B43C46">
              <w:t>Describe emotional reactions and common behavior after being involved in an adverse event</w:t>
            </w:r>
          </w:p>
          <w:p w14:paraId="56E38161" w14:textId="77777777" w:rsidR="00B43C46" w:rsidRPr="00B43C46" w:rsidRDefault="00B43C46" w:rsidP="00D21AFF">
            <w:pPr>
              <w:numPr>
                <w:ilvl w:val="1"/>
                <w:numId w:val="9"/>
              </w:numPr>
            </w:pPr>
            <w:r w:rsidRPr="00B43C46">
              <w:t>Describe correct and incorrect actions of how to act after an adverse event in order to respect the rights of patients and support second victims</w:t>
            </w:r>
          </w:p>
          <w:p w14:paraId="70E7470B" w14:textId="77777777" w:rsidR="00B43C46" w:rsidRPr="00B43C46" w:rsidRDefault="00B43C46" w:rsidP="00D21AFF">
            <w:pPr>
              <w:numPr>
                <w:ilvl w:val="1"/>
                <w:numId w:val="9"/>
              </w:numPr>
            </w:pPr>
            <w:r w:rsidRPr="00B43C46">
              <w:t>Act in the area of primary care, expanding the extent of studies primarily done in hospital setting</w:t>
            </w:r>
          </w:p>
          <w:p w14:paraId="7D2FCE4E" w14:textId="77777777" w:rsidR="003A3993" w:rsidRDefault="003A3993" w:rsidP="00D60774"/>
        </w:tc>
      </w:tr>
      <w:tr w:rsidR="003A3993" w14:paraId="10154389" w14:textId="77777777" w:rsidTr="00A51F46">
        <w:tc>
          <w:tcPr>
            <w:tcW w:w="2605" w:type="dxa"/>
            <w:tcBorders>
              <w:top w:val="single" w:sz="4" w:space="0" w:color="auto"/>
            </w:tcBorders>
          </w:tcPr>
          <w:p w14:paraId="63CFB9C7" w14:textId="7A9481D8" w:rsidR="003A3993" w:rsidRDefault="00C4710A" w:rsidP="00D60774">
            <w:r>
              <w:t>2019</w:t>
            </w:r>
          </w:p>
        </w:tc>
        <w:tc>
          <w:tcPr>
            <w:tcW w:w="10985" w:type="dxa"/>
            <w:tcBorders>
              <w:top w:val="single" w:sz="4" w:space="0" w:color="auto"/>
            </w:tcBorders>
          </w:tcPr>
          <w:p w14:paraId="7B4175BB" w14:textId="6CB669F1" w:rsidR="003A3993" w:rsidRPr="00C4710A" w:rsidRDefault="00D83625" w:rsidP="00D83625">
            <w:pPr>
              <w:rPr>
                <w:vertAlign w:val="superscript"/>
              </w:rPr>
            </w:pPr>
            <w:r>
              <w:t xml:space="preserve">One study in surgical trainees and nine case series or cross-sectional </w:t>
            </w:r>
            <w:r w:rsidR="002B4EB3">
              <w:t>studies in</w:t>
            </w:r>
            <w:r>
              <w:t xml:space="preserve"> surgeons the UK or North America were reviewed (&gt;8500 participants).  Four themes were identified in how surgeons were affected emotionally after complicati</w:t>
            </w:r>
            <w:r w:rsidR="00C4710A">
              <w:t>ons and included the following:</w:t>
            </w:r>
            <w:r w:rsidR="00C4710A">
              <w:rPr>
                <w:vertAlign w:val="superscript"/>
              </w:rPr>
              <w:t>23</w:t>
            </w:r>
          </w:p>
          <w:p w14:paraId="26EDF09A" w14:textId="76819E4D" w:rsidR="00D83625" w:rsidRDefault="00D83625" w:rsidP="00D83625">
            <w:pPr>
              <w:pStyle w:val="ListParagraph"/>
              <w:numPr>
                <w:ilvl w:val="0"/>
                <w:numId w:val="14"/>
              </w:numPr>
            </w:pPr>
            <w:r>
              <w:t>Adverse emotional consequences of complications (anxiety, guilt, sadness, shame)</w:t>
            </w:r>
          </w:p>
          <w:p w14:paraId="0D172430" w14:textId="5E512365" w:rsidR="00D83625" w:rsidRDefault="00D83625" w:rsidP="00D83625">
            <w:pPr>
              <w:pStyle w:val="ListParagraph"/>
              <w:numPr>
                <w:ilvl w:val="0"/>
                <w:numId w:val="14"/>
              </w:numPr>
            </w:pPr>
            <w:r>
              <w:t>Coping mechanisms used (discussion with colleagues, exercise, creative outlets, substance abuse)</w:t>
            </w:r>
          </w:p>
          <w:p w14:paraId="452426F5" w14:textId="0EAC34F2" w:rsidR="00D83625" w:rsidRDefault="00D83625" w:rsidP="00D83625">
            <w:pPr>
              <w:pStyle w:val="ListParagraph"/>
              <w:numPr>
                <w:ilvl w:val="0"/>
                <w:numId w:val="14"/>
              </w:numPr>
            </w:pPr>
            <w:r>
              <w:t>Institutional support mechanisms and barriers to support</w:t>
            </w:r>
          </w:p>
          <w:p w14:paraId="6EC63D12" w14:textId="7F77DE29" w:rsidR="00D83625" w:rsidRDefault="00D83625" w:rsidP="00D83625">
            <w:pPr>
              <w:pStyle w:val="ListParagraph"/>
              <w:numPr>
                <w:ilvl w:val="0"/>
                <w:numId w:val="14"/>
              </w:numPr>
            </w:pPr>
            <w:r>
              <w:t>Consequences in clinical practice (changes in practice, RCA, introduction of protocols)</w:t>
            </w:r>
          </w:p>
          <w:p w14:paraId="6132CD1A" w14:textId="77777777" w:rsidR="00D83625" w:rsidRDefault="00D83625" w:rsidP="00D83625"/>
          <w:p w14:paraId="3492B837" w14:textId="57F4B0E3" w:rsidR="00D83625" w:rsidRDefault="00D83625" w:rsidP="00D83625">
            <w:r>
              <w:t xml:space="preserve">Study concluded that further efforts are needed for effective support. </w:t>
            </w:r>
          </w:p>
          <w:p w14:paraId="3316E328" w14:textId="03D0C5D0" w:rsidR="00D83625" w:rsidRDefault="00D83625" w:rsidP="00D83625"/>
        </w:tc>
      </w:tr>
    </w:tbl>
    <w:p w14:paraId="760BC773" w14:textId="79A6D07F" w:rsidR="002F6952" w:rsidRDefault="002F6952" w:rsidP="0088091F">
      <w:pPr>
        <w:pStyle w:val="ListParagraph"/>
        <w:ind w:left="1800"/>
      </w:pPr>
    </w:p>
    <w:p w14:paraId="0F998E27" w14:textId="10EF24F2" w:rsidR="00A51F46" w:rsidRDefault="00A51F46" w:rsidP="0088091F">
      <w:pPr>
        <w:pStyle w:val="ListParagraph"/>
        <w:ind w:left="1800"/>
      </w:pPr>
    </w:p>
    <w:p w14:paraId="416902EC" w14:textId="5B285445" w:rsidR="00A51F46" w:rsidRDefault="00A51F46" w:rsidP="0088091F">
      <w:pPr>
        <w:pStyle w:val="ListParagraph"/>
        <w:ind w:left="1800"/>
      </w:pPr>
    </w:p>
    <w:p w14:paraId="3535BD13" w14:textId="77777777" w:rsidR="00780CA4" w:rsidRPr="002C4931" w:rsidRDefault="00780CA4" w:rsidP="0088091F">
      <w:pPr>
        <w:pStyle w:val="ListParagraph"/>
        <w:ind w:left="1800"/>
      </w:pPr>
    </w:p>
    <w:p w14:paraId="6F7FAE08" w14:textId="13AD1405" w:rsidR="00DD1088" w:rsidRDefault="00DD1088" w:rsidP="007E1A12">
      <w:pPr>
        <w:pStyle w:val="ListParagraph"/>
        <w:ind w:left="1080"/>
        <w:rPr>
          <w:vertAlign w:val="superscript"/>
        </w:rPr>
      </w:pPr>
    </w:p>
    <w:p w14:paraId="3FF12944" w14:textId="1A96C631" w:rsidR="00DD1088" w:rsidRPr="002C3C43" w:rsidRDefault="00DD1088" w:rsidP="003B393F">
      <w:pPr>
        <w:pStyle w:val="ListParagraph"/>
        <w:numPr>
          <w:ilvl w:val="1"/>
          <w:numId w:val="3"/>
        </w:numPr>
      </w:pPr>
      <w:r w:rsidRPr="002C3C43">
        <w:t>HIGH-RISK SCENARIOS (from Emotional First Aid for Second Victims and From for</w:t>
      </w:r>
      <w:r w:rsidR="004E2ECD" w:rsidRPr="002C3C43">
        <w:t xml:space="preserve"> </w:t>
      </w:r>
      <w:r w:rsidRPr="002C3C43">
        <w:t xml:space="preserve">You Team website-University of Missouri) </w:t>
      </w:r>
      <w:hyperlink r:id="rId10" w:history="1">
        <w:r w:rsidR="00C77EDD" w:rsidRPr="002C3C43">
          <w:rPr>
            <w:rStyle w:val="Hyperlink"/>
          </w:rPr>
          <w:t>https://www.muhealth.org/about-us/quality-care-patient-safety/office-of-clinical-effectiveness/foryou</w:t>
        </w:r>
      </w:hyperlink>
    </w:p>
    <w:p w14:paraId="21C8F47D" w14:textId="77777777" w:rsidR="00DD1088" w:rsidRPr="002C3C43" w:rsidRDefault="00DD1088" w:rsidP="00DD1088">
      <w:pPr>
        <w:pStyle w:val="ListParagraph"/>
        <w:ind w:left="1080"/>
      </w:pPr>
      <w:r w:rsidRPr="002C3C43">
        <w:t>There are several types of clinical events that can evoke a second victim response. Examples of high-risk situations that may induce a stress response include:</w:t>
      </w:r>
    </w:p>
    <w:p w14:paraId="355830A2" w14:textId="77777777" w:rsidR="00DD1088" w:rsidRDefault="00DD1088" w:rsidP="00DD1088">
      <w:pPr>
        <w:pStyle w:val="ListParagraph"/>
        <w:numPr>
          <w:ilvl w:val="3"/>
          <w:numId w:val="3"/>
        </w:numPr>
      </w:pPr>
      <w:r w:rsidRPr="002C3C43">
        <w:t>Patient who “connects</w:t>
      </w:r>
      <w:r>
        <w:t>” to a health care professional’s own family</w:t>
      </w:r>
    </w:p>
    <w:p w14:paraId="134E8CCC" w14:textId="77777777" w:rsidR="00DD1088" w:rsidRDefault="00DD1088" w:rsidP="00DD1088">
      <w:pPr>
        <w:pStyle w:val="ListParagraph"/>
        <w:numPr>
          <w:ilvl w:val="3"/>
          <w:numId w:val="3"/>
        </w:numPr>
      </w:pPr>
      <w:r>
        <w:t>Unanticipated clinical event involving a pediatric patient</w:t>
      </w:r>
    </w:p>
    <w:p w14:paraId="477C2EB3" w14:textId="77777777" w:rsidR="00DD1088" w:rsidRDefault="00DD1088" w:rsidP="00DD1088">
      <w:pPr>
        <w:pStyle w:val="ListParagraph"/>
        <w:numPr>
          <w:ilvl w:val="3"/>
          <w:numId w:val="3"/>
        </w:numPr>
      </w:pPr>
      <w:r>
        <w:t>Unexpected patient death</w:t>
      </w:r>
    </w:p>
    <w:p w14:paraId="02185289" w14:textId="77777777" w:rsidR="00DD1088" w:rsidRDefault="00DD1088" w:rsidP="00DD1088">
      <w:pPr>
        <w:pStyle w:val="ListParagraph"/>
        <w:numPr>
          <w:ilvl w:val="3"/>
          <w:numId w:val="3"/>
        </w:numPr>
      </w:pPr>
      <w:r>
        <w:t>Preventable harm to patient</w:t>
      </w:r>
    </w:p>
    <w:p w14:paraId="7A230C83" w14:textId="77777777" w:rsidR="00DD1088" w:rsidRDefault="00DD1088" w:rsidP="00DD1088">
      <w:pPr>
        <w:pStyle w:val="ListParagraph"/>
        <w:numPr>
          <w:ilvl w:val="3"/>
          <w:numId w:val="3"/>
        </w:numPr>
      </w:pPr>
      <w:r>
        <w:t>Multiple patients with bad outcomes within a short period of time within one clinical area</w:t>
      </w:r>
    </w:p>
    <w:p w14:paraId="2DA3E705" w14:textId="77777777" w:rsidR="00DD1088" w:rsidRDefault="00DD1088" w:rsidP="00DD1088">
      <w:pPr>
        <w:pStyle w:val="ListParagraph"/>
        <w:numPr>
          <w:ilvl w:val="3"/>
          <w:numId w:val="3"/>
        </w:numPr>
      </w:pPr>
      <w:r>
        <w:t>Long-term care relationship with patient death</w:t>
      </w:r>
    </w:p>
    <w:p w14:paraId="03E264BD" w14:textId="77777777" w:rsidR="00DD1088" w:rsidRDefault="00DD1088" w:rsidP="00DD1088">
      <w:pPr>
        <w:pStyle w:val="ListParagraph"/>
        <w:numPr>
          <w:ilvl w:val="3"/>
          <w:numId w:val="3"/>
        </w:numPr>
      </w:pPr>
      <w:r>
        <w:t>Clinician experiencing his or her first patient death</w:t>
      </w:r>
    </w:p>
    <w:p w14:paraId="1F3F69CC" w14:textId="77777777" w:rsidR="00DD1088" w:rsidRDefault="00DD1088" w:rsidP="00DD1088">
      <w:pPr>
        <w:pStyle w:val="ListParagraph"/>
        <w:numPr>
          <w:ilvl w:val="3"/>
          <w:numId w:val="3"/>
        </w:numPr>
      </w:pPr>
      <w:r>
        <w:t>Failure to detect patient deterioration in timely manner</w:t>
      </w:r>
    </w:p>
    <w:p w14:paraId="5ECA875B" w14:textId="77777777" w:rsidR="00DD1088" w:rsidRDefault="00DD1088" w:rsidP="00DD1088">
      <w:pPr>
        <w:pStyle w:val="ListParagraph"/>
        <w:numPr>
          <w:ilvl w:val="3"/>
          <w:numId w:val="3"/>
        </w:numPr>
      </w:pPr>
      <w:r>
        <w:t>Death in a young adult patient</w:t>
      </w:r>
    </w:p>
    <w:p w14:paraId="1AB79C81" w14:textId="77777777" w:rsidR="00DD1088" w:rsidRDefault="00DD1088" w:rsidP="00DD1088">
      <w:pPr>
        <w:pStyle w:val="ListParagraph"/>
        <w:numPr>
          <w:ilvl w:val="3"/>
          <w:numId w:val="3"/>
        </w:numPr>
      </w:pPr>
      <w:r>
        <w:t>Notification of pending litigation plans</w:t>
      </w:r>
    </w:p>
    <w:p w14:paraId="10FBD0AA" w14:textId="77777777" w:rsidR="00DD1088" w:rsidRDefault="00DD1088" w:rsidP="00DD1088">
      <w:pPr>
        <w:pStyle w:val="ListParagraph"/>
        <w:numPr>
          <w:ilvl w:val="3"/>
          <w:numId w:val="3"/>
        </w:numPr>
      </w:pPr>
      <w:r>
        <w:t>Community high-profile patient or event</w:t>
      </w:r>
    </w:p>
    <w:p w14:paraId="2780CE65" w14:textId="77777777" w:rsidR="00DD1088" w:rsidRDefault="00DD1088" w:rsidP="00DD1088">
      <w:pPr>
        <w:pStyle w:val="ListParagraph"/>
        <w:numPr>
          <w:ilvl w:val="3"/>
          <w:numId w:val="3"/>
        </w:numPr>
      </w:pPr>
      <w:r>
        <w:t>Health care professional who experienced needle stick exposure with high-risk patient</w:t>
      </w:r>
    </w:p>
    <w:p w14:paraId="137ABADB" w14:textId="600C1972" w:rsidR="00DD1088" w:rsidRDefault="00DD1088" w:rsidP="00DD1088">
      <w:pPr>
        <w:pStyle w:val="ListParagraph"/>
        <w:numPr>
          <w:ilvl w:val="3"/>
          <w:numId w:val="3"/>
        </w:numPr>
      </w:pPr>
      <w:r>
        <w:t>Death of a staff member or spouse of a staff member</w:t>
      </w:r>
    </w:p>
    <w:p w14:paraId="4B390633" w14:textId="59B9C69C" w:rsidR="004E7DE5" w:rsidRDefault="004E7DE5" w:rsidP="004E7DE5"/>
    <w:p w14:paraId="0CF99689" w14:textId="77777777" w:rsidR="006E46E3" w:rsidRDefault="006E46E3" w:rsidP="004E7DE5">
      <w:pPr>
        <w:pStyle w:val="ListParagraph"/>
        <w:ind w:left="1080"/>
      </w:pPr>
    </w:p>
    <w:p w14:paraId="4EDEC6A8" w14:textId="23A50690" w:rsidR="004E7DE5" w:rsidRPr="00F24E88" w:rsidRDefault="004E7DE5" w:rsidP="004E7DE5">
      <w:pPr>
        <w:pStyle w:val="ListParagraph"/>
        <w:ind w:left="1080"/>
        <w:rPr>
          <w:b/>
          <w:u w:val="single"/>
        </w:rPr>
      </w:pPr>
      <w:r w:rsidRPr="00F24E88">
        <w:rPr>
          <w:b/>
          <w:u w:val="single"/>
        </w:rPr>
        <w:t xml:space="preserve">Effects on Second Victims: </w:t>
      </w:r>
    </w:p>
    <w:p w14:paraId="3D799EDB" w14:textId="7F9F82E2" w:rsidR="00B062AB" w:rsidRPr="00406151" w:rsidRDefault="00C01624" w:rsidP="003D63CD">
      <w:pPr>
        <w:ind w:left="1080"/>
        <w:rPr>
          <w:vertAlign w:val="superscript"/>
        </w:rPr>
      </w:pPr>
      <w:r>
        <w:t>The medical literature does not clearly establish the proportion of health care professionals who are affected by the second victim phenomenon, nor is the long-term impact on the careers of health care professio</w:t>
      </w:r>
      <w:r w:rsidR="00E5422C">
        <w:t>nals well delineated.</w:t>
      </w:r>
      <w:r w:rsidR="00E5422C">
        <w:rPr>
          <w:vertAlign w:val="superscript"/>
        </w:rPr>
        <w:t>5</w:t>
      </w:r>
      <w:r w:rsidR="000C70B3">
        <w:rPr>
          <w:vertAlign w:val="superscript"/>
        </w:rPr>
        <w:t xml:space="preserve">  </w:t>
      </w:r>
      <w:r w:rsidR="006E46E3">
        <w:t>Effects on second victims can range from insomnia to suicidal thoughts</w:t>
      </w:r>
      <w:r w:rsidR="002E3AAF">
        <w:t xml:space="preserve"> and effects can extend not only to their professional lives but also their personal lives.</w:t>
      </w:r>
      <w:r w:rsidR="00AC272F">
        <w:rPr>
          <w:vertAlign w:val="superscript"/>
        </w:rPr>
        <w:t>14</w:t>
      </w:r>
      <w:r w:rsidR="002E3AAF">
        <w:t xml:space="preserve">  Some practitioners suffer a medical equivalent to PTSD and they fear being labeled incompetent, losing t</w:t>
      </w:r>
      <w:r w:rsidR="00AC272F">
        <w:t>heir employment and litigation.</w:t>
      </w:r>
      <w:r w:rsidR="00AC272F">
        <w:rPr>
          <w:vertAlign w:val="superscript"/>
        </w:rPr>
        <w:t>14</w:t>
      </w:r>
      <w:r w:rsidR="002E3AAF">
        <w:t xml:space="preserve"> </w:t>
      </w:r>
      <w:r w:rsidR="00F24E88">
        <w:t xml:space="preserve">These victims struggle with processing their feelings of fear, sadness, guilt and shame.  In 2014, ISMP advised there was a need for </w:t>
      </w:r>
      <w:r w:rsidR="003E0E6A">
        <w:t xml:space="preserve">the development of </w:t>
      </w:r>
      <w:r w:rsidR="00F24E88">
        <w:t>second victim support pla</w:t>
      </w:r>
      <w:r w:rsidR="003E0E6A">
        <w:t>ns with formal infrastructures.</w:t>
      </w:r>
      <w:r w:rsidR="00AC272F">
        <w:rPr>
          <w:vertAlign w:val="superscript"/>
        </w:rPr>
        <w:t>14</w:t>
      </w:r>
      <w:r w:rsidR="00B062AB">
        <w:t xml:space="preserve"> The disclosure of adverse events to patients forces health care workers to confront and accept responsibility for errors which can increase distress but reporting of these events is paramount. Data published in 2013 estimated between 210,000 and 440,000 preventable deaths occur annually in the US and</w:t>
      </w:r>
      <w:r w:rsidR="001A3C07">
        <w:t xml:space="preserve"> are related to adverse events.</w:t>
      </w:r>
      <w:r w:rsidR="001A3C07">
        <w:rPr>
          <w:vertAlign w:val="superscript"/>
        </w:rPr>
        <w:t>24,</w:t>
      </w:r>
      <w:r w:rsidR="009F2D1C">
        <w:rPr>
          <w:vertAlign w:val="superscript"/>
        </w:rPr>
        <w:t>25</w:t>
      </w:r>
      <w:r w:rsidR="00B062AB">
        <w:t xml:space="preserve">  Rafter and colleagues estimated 4-17% of international hospital admissions are </w:t>
      </w:r>
      <w:r w:rsidR="001A3C07">
        <w:t>associated with adverse events.</w:t>
      </w:r>
      <w:r w:rsidR="001A3C07">
        <w:rPr>
          <w:vertAlign w:val="superscript"/>
        </w:rPr>
        <w:t>24,</w:t>
      </w:r>
      <w:r w:rsidR="009F2D1C">
        <w:rPr>
          <w:vertAlign w:val="superscript"/>
        </w:rPr>
        <w:t>26</w:t>
      </w:r>
      <w:r w:rsidR="00B062AB">
        <w:t xml:space="preserve">.  </w:t>
      </w:r>
      <w:r w:rsidR="003D63CD">
        <w:t>A systematic and comprehensive approach in handling these events includes providing clinician support as well a</w:t>
      </w:r>
      <w:r w:rsidR="00406151">
        <w:t>s awareness and consideration.</w:t>
      </w:r>
      <w:r w:rsidR="00406151">
        <w:rPr>
          <w:vertAlign w:val="superscript"/>
        </w:rPr>
        <w:t>27</w:t>
      </w:r>
    </w:p>
    <w:p w14:paraId="4F6D6768" w14:textId="77777777" w:rsidR="00B062AB" w:rsidRDefault="00B062AB" w:rsidP="00F24E88">
      <w:pPr>
        <w:ind w:left="1080"/>
      </w:pPr>
    </w:p>
    <w:p w14:paraId="60292489" w14:textId="30270B56" w:rsidR="003D63CD" w:rsidRDefault="003D63CD" w:rsidP="00F24E88">
      <w:pPr>
        <w:ind w:left="1080"/>
      </w:pPr>
    </w:p>
    <w:p w14:paraId="64EAAA52" w14:textId="199501F4" w:rsidR="00AA6771" w:rsidRDefault="00AA6771" w:rsidP="00F24E88">
      <w:pPr>
        <w:ind w:left="1080"/>
      </w:pPr>
    </w:p>
    <w:p w14:paraId="0478B247" w14:textId="255C0FF5" w:rsidR="00AA6771" w:rsidRDefault="00AA6771" w:rsidP="00F24E88">
      <w:pPr>
        <w:ind w:left="1080"/>
      </w:pPr>
    </w:p>
    <w:p w14:paraId="57DCEC64" w14:textId="51658F9E" w:rsidR="00AA6771" w:rsidRDefault="00AA6771" w:rsidP="00F24E88">
      <w:pPr>
        <w:ind w:left="1080"/>
      </w:pPr>
    </w:p>
    <w:p w14:paraId="404391B1" w14:textId="77777777" w:rsidR="00AA6771" w:rsidRDefault="00AA6771" w:rsidP="00F24E88">
      <w:pPr>
        <w:ind w:left="1080"/>
      </w:pPr>
    </w:p>
    <w:p w14:paraId="4BAD104B" w14:textId="35A018F6" w:rsidR="00135EA1" w:rsidRPr="00135EA1" w:rsidRDefault="00135EA1" w:rsidP="00F24E88">
      <w:pPr>
        <w:ind w:left="1080"/>
        <w:rPr>
          <w:b/>
          <w:u w:val="single"/>
        </w:rPr>
      </w:pPr>
      <w:r w:rsidRPr="00135EA1">
        <w:rPr>
          <w:b/>
          <w:u w:val="single"/>
        </w:rPr>
        <w:t xml:space="preserve">Lack </w:t>
      </w:r>
      <w:r w:rsidR="004F75BB" w:rsidRPr="00135EA1">
        <w:rPr>
          <w:b/>
          <w:u w:val="single"/>
        </w:rPr>
        <w:t>of</w:t>
      </w:r>
      <w:r w:rsidRPr="00135EA1">
        <w:rPr>
          <w:b/>
          <w:u w:val="single"/>
        </w:rPr>
        <w:t xml:space="preserve"> Support </w:t>
      </w:r>
    </w:p>
    <w:p w14:paraId="178C4788" w14:textId="7E7E47CD" w:rsidR="00431861" w:rsidRPr="00B062AB" w:rsidRDefault="000E79CF" w:rsidP="00B062AB">
      <w:pPr>
        <w:pStyle w:val="ListParagraph"/>
        <w:ind w:left="1080"/>
        <w:rPr>
          <w:strike/>
        </w:rPr>
      </w:pPr>
      <w:r>
        <w:t xml:space="preserve">In 2010, Scott and colleagues </w:t>
      </w:r>
      <w:r w:rsidR="006B2112">
        <w:t>noted the lack of literature available on how to formalize access to support or address the unique need</w:t>
      </w:r>
      <w:r w:rsidR="00E76D2E">
        <w:t xml:space="preserve"> of second victims.</w:t>
      </w:r>
      <w:r w:rsidR="00E76D2E">
        <w:rPr>
          <w:vertAlign w:val="superscript"/>
        </w:rPr>
        <w:t>5</w:t>
      </w:r>
      <w:r w:rsidR="006B2112">
        <w:t xml:space="preserve">  Multiple cases collected throughout the years reflect there is a </w:t>
      </w:r>
      <w:r w:rsidR="006B2112" w:rsidRPr="00EF165C">
        <w:t>lack of support in general within the healthcare industry</w:t>
      </w:r>
      <w:r w:rsidR="006B2112">
        <w:t>.  In 2014, ISMP reported the lack of support mechanisms to address the severe side effects often felt in second victims of fatal errors.</w:t>
      </w:r>
      <w:r w:rsidR="00044869">
        <w:rPr>
          <w:vertAlign w:val="superscript"/>
        </w:rPr>
        <w:t>14</w:t>
      </w:r>
      <w:r w:rsidR="006B2112">
        <w:t xml:space="preserve"> </w:t>
      </w:r>
      <w:r w:rsidR="00FD77A0">
        <w:t xml:space="preserve">  In 2016, Burlison and colleagues</w:t>
      </w:r>
      <w:r w:rsidR="00FD77A0" w:rsidRPr="00FD77A0">
        <w:t xml:space="preserve"> used the Second Victim Experience and Support Tool to show a relationship between second victim distress and both absenteeism and turn over intentions. They concluded that organizational support mediated the turnover and ab</w:t>
      </w:r>
      <w:r w:rsidR="00044869">
        <w:t>senteeism trends.</w:t>
      </w:r>
      <w:r w:rsidR="00044869">
        <w:rPr>
          <w:vertAlign w:val="superscript"/>
        </w:rPr>
        <w:t>28</w:t>
      </w:r>
      <w:r w:rsidR="00FD77A0">
        <w:t xml:space="preserve">  </w:t>
      </w:r>
      <w:r w:rsidR="00FD77A0" w:rsidRPr="00FD77A0">
        <w:t xml:space="preserve">Issues with organizational support identified </w:t>
      </w:r>
      <w:r w:rsidR="00FD77A0">
        <w:t xml:space="preserve">by other researchers </w:t>
      </w:r>
      <w:r w:rsidR="00FD77A0" w:rsidRPr="00FD77A0">
        <w:t>include inadequate safety culture, a punitive approach to adverse events and barriers to access i</w:t>
      </w:r>
      <w:r w:rsidR="0050116C">
        <w:t>nstitutional support.</w:t>
      </w:r>
      <w:r w:rsidR="0050116C">
        <w:rPr>
          <w:vertAlign w:val="superscript"/>
        </w:rPr>
        <w:t>24</w:t>
      </w:r>
      <w:r w:rsidR="00FD77A0" w:rsidRPr="00FD77A0">
        <w:t xml:space="preserve"> The importance of a supp</w:t>
      </w:r>
      <w:r w:rsidR="00FD77A0">
        <w:t>ortive organizational climate seems</w:t>
      </w:r>
      <w:r w:rsidR="00FD77A0" w:rsidRPr="00FD77A0">
        <w:t xml:space="preserve"> vital in supporting the nee</w:t>
      </w:r>
      <w:r w:rsidR="0050116C">
        <w:t>ds of second victims</w:t>
      </w:r>
      <w:r w:rsidR="00FD77A0">
        <w:t>.</w:t>
      </w:r>
      <w:r w:rsidR="0050116C">
        <w:rPr>
          <w:vertAlign w:val="superscript"/>
        </w:rPr>
        <w:t>24</w:t>
      </w:r>
      <w:r w:rsidR="00B062AB">
        <w:t xml:space="preserve">  Several programs have been implemented at facilities due to the </w:t>
      </w:r>
      <w:r w:rsidR="000D42F4" w:rsidRPr="000D42F4">
        <w:t xml:space="preserve">realization of how devastating these events can be for the healthcare providers involved. </w:t>
      </w:r>
    </w:p>
    <w:p w14:paraId="11CD2E1C" w14:textId="77777777" w:rsidR="007F27EB" w:rsidRPr="00DA7B3F" w:rsidRDefault="007F27EB" w:rsidP="007F27EB">
      <w:pPr>
        <w:pStyle w:val="ListParagraph"/>
        <w:ind w:left="1080"/>
      </w:pPr>
    </w:p>
    <w:p w14:paraId="5505FDFB" w14:textId="4EB46438" w:rsidR="008F5F6D" w:rsidRDefault="00D600F1" w:rsidP="00B07ABC">
      <w:pPr>
        <w:numPr>
          <w:ilvl w:val="0"/>
          <w:numId w:val="3"/>
        </w:numPr>
        <w:shd w:val="clear" w:color="auto" w:fill="D9D9D9" w:themeFill="background1" w:themeFillShade="D9"/>
      </w:pPr>
      <w:r>
        <w:t>Six stages of Second Victim  Recovery</w:t>
      </w:r>
      <w:r>
        <w:rPr>
          <w:vertAlign w:val="superscript"/>
        </w:rPr>
        <w:t>5</w:t>
      </w:r>
      <w:r w:rsidR="00EE6735">
        <w:rPr>
          <w:vertAlign w:val="superscript"/>
        </w:rPr>
        <w:t>,16</w:t>
      </w:r>
    </w:p>
    <w:p w14:paraId="61ED65B7" w14:textId="77777777" w:rsidR="008F5F6D" w:rsidRDefault="00D600F1">
      <w:pPr>
        <w:ind w:left="2160" w:firstLine="720"/>
      </w:pPr>
      <w:r>
        <w:t>Stage 1: Chaos and accident response</w:t>
      </w:r>
    </w:p>
    <w:p w14:paraId="6B640E05" w14:textId="77777777" w:rsidR="008F5F6D" w:rsidRDefault="00D600F1">
      <w:pPr>
        <w:ind w:left="2880"/>
      </w:pPr>
      <w:r>
        <w:t>Stage 2: Intrusive reflections</w:t>
      </w:r>
    </w:p>
    <w:p w14:paraId="787ACF46" w14:textId="77777777" w:rsidR="008F5F6D" w:rsidRDefault="00D600F1">
      <w:pPr>
        <w:ind w:left="2880"/>
      </w:pPr>
      <w:r>
        <w:t>Stage 3: Restoring personal integrity</w:t>
      </w:r>
    </w:p>
    <w:p w14:paraId="1A6E9B35" w14:textId="77777777" w:rsidR="008F5F6D" w:rsidRDefault="00D600F1">
      <w:pPr>
        <w:ind w:left="2880"/>
      </w:pPr>
      <w:r>
        <w:t>Stage 4: Enduring the inquisition</w:t>
      </w:r>
    </w:p>
    <w:p w14:paraId="2044ED96" w14:textId="77777777" w:rsidR="008F5F6D" w:rsidRDefault="00D600F1">
      <w:pPr>
        <w:ind w:left="2880"/>
      </w:pPr>
      <w:r>
        <w:t>Stage 5: Obtaining emotional first aid</w:t>
      </w:r>
    </w:p>
    <w:p w14:paraId="0F5B6937" w14:textId="76DAF0F0" w:rsidR="008F5F6D" w:rsidRDefault="00D600F1">
      <w:pPr>
        <w:ind w:left="2880"/>
      </w:pPr>
      <w:r>
        <w:t xml:space="preserve">Stage 6: Moving on (either by dropping out, surviving, or thriving) </w:t>
      </w:r>
    </w:p>
    <w:p w14:paraId="784F1A8F" w14:textId="77777777" w:rsidR="005D38B3" w:rsidRDefault="005D38B3" w:rsidP="005D38B3">
      <w:pPr>
        <w:pStyle w:val="ListParagraph"/>
        <w:ind w:left="1800"/>
      </w:pPr>
    </w:p>
    <w:p w14:paraId="20C5C0F1" w14:textId="2573DEA2" w:rsidR="005D38B3" w:rsidRPr="00AC272F" w:rsidRDefault="005D38B3" w:rsidP="005D38B3">
      <w:pPr>
        <w:pStyle w:val="ListParagraph"/>
        <w:ind w:left="1800"/>
        <w:rPr>
          <w:vertAlign w:val="superscript"/>
        </w:rPr>
      </w:pPr>
      <w:r>
        <w:t>Th</w:t>
      </w:r>
      <w:r w:rsidR="00AC272F">
        <w:t>e Five Rights of Second Victims</w:t>
      </w:r>
      <w:r w:rsidR="00AC272F">
        <w:rPr>
          <w:vertAlign w:val="superscript"/>
        </w:rPr>
        <w:t>14</w:t>
      </w:r>
    </w:p>
    <w:p w14:paraId="5D879479" w14:textId="77777777" w:rsidR="005D38B3" w:rsidRDefault="005D38B3" w:rsidP="005D38B3">
      <w:pPr>
        <w:pStyle w:val="ListParagraph"/>
        <w:numPr>
          <w:ilvl w:val="3"/>
          <w:numId w:val="3"/>
        </w:numPr>
      </w:pPr>
      <w:r>
        <w:t xml:space="preserve">Treatment that is just. </w:t>
      </w:r>
    </w:p>
    <w:p w14:paraId="3557C544" w14:textId="77777777" w:rsidR="005D38B3" w:rsidRDefault="005D38B3" w:rsidP="005D38B3">
      <w:pPr>
        <w:pStyle w:val="ListParagraph"/>
        <w:numPr>
          <w:ilvl w:val="3"/>
          <w:numId w:val="3"/>
        </w:numPr>
      </w:pPr>
      <w:r>
        <w:t>Respect</w:t>
      </w:r>
    </w:p>
    <w:p w14:paraId="03379D58" w14:textId="77777777" w:rsidR="005D38B3" w:rsidRDefault="005D38B3" w:rsidP="005D38B3">
      <w:pPr>
        <w:pStyle w:val="ListParagraph"/>
        <w:numPr>
          <w:ilvl w:val="3"/>
          <w:numId w:val="3"/>
        </w:numPr>
      </w:pPr>
      <w:r>
        <w:t>Understanding and compassion</w:t>
      </w:r>
    </w:p>
    <w:p w14:paraId="079BF211" w14:textId="77777777" w:rsidR="005D38B3" w:rsidRDefault="005D38B3" w:rsidP="005D38B3">
      <w:pPr>
        <w:pStyle w:val="ListParagraph"/>
        <w:numPr>
          <w:ilvl w:val="3"/>
          <w:numId w:val="3"/>
        </w:numPr>
      </w:pPr>
      <w:r>
        <w:t>Supportive care</w:t>
      </w:r>
    </w:p>
    <w:p w14:paraId="04A23965" w14:textId="77777777" w:rsidR="005D38B3" w:rsidRDefault="005D38B3" w:rsidP="005D38B3">
      <w:pPr>
        <w:pStyle w:val="ListParagraph"/>
        <w:numPr>
          <w:ilvl w:val="3"/>
          <w:numId w:val="3"/>
        </w:numPr>
      </w:pPr>
      <w:r>
        <w:t>Transparency and opportunity to contribute</w:t>
      </w:r>
    </w:p>
    <w:p w14:paraId="57A54331" w14:textId="5C2CC6A4" w:rsidR="00125948" w:rsidRDefault="00125948">
      <w:pPr>
        <w:ind w:left="2880"/>
      </w:pPr>
    </w:p>
    <w:p w14:paraId="444F86D7" w14:textId="77777777" w:rsidR="00125948" w:rsidRDefault="00125948">
      <w:pPr>
        <w:ind w:left="2880"/>
      </w:pPr>
    </w:p>
    <w:p w14:paraId="40E00EAA" w14:textId="6C44830F" w:rsidR="008F5F6D" w:rsidRDefault="00D600F1" w:rsidP="00B07ABC">
      <w:pPr>
        <w:numPr>
          <w:ilvl w:val="0"/>
          <w:numId w:val="3"/>
        </w:numPr>
        <w:shd w:val="clear" w:color="auto" w:fill="D9D9D9" w:themeFill="background1" w:themeFillShade="D9"/>
      </w:pPr>
      <w:r>
        <w:t xml:space="preserve">Resources/ Example Programs </w:t>
      </w:r>
    </w:p>
    <w:p w14:paraId="56FC6B44" w14:textId="2CABF9A7" w:rsidR="00814078" w:rsidRDefault="00814078" w:rsidP="00814078">
      <w:pPr>
        <w:ind w:left="1080"/>
      </w:pPr>
    </w:p>
    <w:p w14:paraId="23C67547" w14:textId="6AC94E3F" w:rsidR="00814078" w:rsidRDefault="00814078" w:rsidP="002C3965">
      <w:r>
        <w:t>Professionals are often met with uncertainty once an adverse event occurs.  They do not know what to do and they question the support of not only their colleag</w:t>
      </w:r>
      <w:r w:rsidR="00C46353">
        <w:t>ues but also their institution.</w:t>
      </w:r>
      <w:r w:rsidR="00C46353">
        <w:rPr>
          <w:vertAlign w:val="superscript"/>
        </w:rPr>
        <w:t>3</w:t>
      </w:r>
      <w:r>
        <w:t xml:space="preserve">  Without programs to help with healing, professionals often turn to dysfunc</w:t>
      </w:r>
      <w:r w:rsidR="00E76D2E">
        <w:t>tional ways protect themselves.</w:t>
      </w:r>
      <w:r w:rsidR="00E76D2E">
        <w:rPr>
          <w:vertAlign w:val="superscript"/>
        </w:rPr>
        <w:t>6</w:t>
      </w:r>
      <w:r>
        <w:t xml:space="preserve"> </w:t>
      </w:r>
    </w:p>
    <w:p w14:paraId="0F1EC7DE" w14:textId="77777777" w:rsidR="002C3965" w:rsidRDefault="002C3965" w:rsidP="002C3965"/>
    <w:p w14:paraId="62FED13F" w14:textId="792C4AB0" w:rsidR="002C3965" w:rsidRDefault="002C3965" w:rsidP="002C3965">
      <w:pPr>
        <w:pStyle w:val="ListParagraph"/>
        <w:numPr>
          <w:ilvl w:val="0"/>
          <w:numId w:val="10"/>
        </w:numPr>
      </w:pPr>
      <w:r>
        <w:t>Desired Resources for victims -</w:t>
      </w:r>
      <w:r w:rsidR="00184A8C">
        <w:t xml:space="preserve"> data suggests underutilization</w:t>
      </w:r>
      <w:r w:rsidR="00184A8C">
        <w:rPr>
          <w:vertAlign w:val="superscript"/>
        </w:rPr>
        <w:t>4</w:t>
      </w:r>
    </w:p>
    <w:p w14:paraId="64AE4C8E" w14:textId="77777777" w:rsidR="002C3965" w:rsidRDefault="002C3965" w:rsidP="002C3965">
      <w:pPr>
        <w:numPr>
          <w:ilvl w:val="2"/>
          <w:numId w:val="3"/>
        </w:numPr>
      </w:pPr>
      <w:r>
        <w:t>Internal resources – preferred internal vs external support per Scott study</w:t>
      </w:r>
      <w:r>
        <w:rPr>
          <w:vertAlign w:val="superscript"/>
        </w:rPr>
        <w:t xml:space="preserve"> </w:t>
      </w:r>
    </w:p>
    <w:p w14:paraId="0DBBC84B" w14:textId="77777777" w:rsidR="002C3965" w:rsidRDefault="002C3965" w:rsidP="002C3965">
      <w:pPr>
        <w:numPr>
          <w:ilvl w:val="3"/>
          <w:numId w:val="3"/>
        </w:numPr>
      </w:pPr>
      <w:r>
        <w:t>Formal employee support</w:t>
      </w:r>
    </w:p>
    <w:p w14:paraId="77FF9D84" w14:textId="77777777" w:rsidR="002C3965" w:rsidRDefault="002C3965" w:rsidP="002C3965">
      <w:pPr>
        <w:numPr>
          <w:ilvl w:val="3"/>
          <w:numId w:val="3"/>
        </w:numPr>
      </w:pPr>
      <w:r>
        <w:t>Pastoral care, chaplains</w:t>
      </w:r>
    </w:p>
    <w:p w14:paraId="244ABA9B" w14:textId="77777777" w:rsidR="002C3965" w:rsidRDefault="002C3965" w:rsidP="002C3965">
      <w:pPr>
        <w:numPr>
          <w:ilvl w:val="3"/>
          <w:numId w:val="3"/>
        </w:numPr>
      </w:pPr>
      <w:r>
        <w:t>Social Work</w:t>
      </w:r>
    </w:p>
    <w:p w14:paraId="61E58447" w14:textId="77777777" w:rsidR="002C3965" w:rsidRDefault="002C3965" w:rsidP="002C3965">
      <w:pPr>
        <w:numPr>
          <w:ilvl w:val="3"/>
          <w:numId w:val="3"/>
        </w:numPr>
      </w:pPr>
      <w:r>
        <w:t>Employee assistance</w:t>
      </w:r>
    </w:p>
    <w:p w14:paraId="79BB06EF" w14:textId="5F501B94" w:rsidR="00583354" w:rsidRPr="00DA4654" w:rsidRDefault="002C3965" w:rsidP="002C3965">
      <w:pPr>
        <w:numPr>
          <w:ilvl w:val="3"/>
          <w:numId w:val="3"/>
        </w:numPr>
      </w:pPr>
      <w:r w:rsidRPr="00DA4654">
        <w:t>Private counseling</w:t>
      </w:r>
    </w:p>
    <w:p w14:paraId="359CEB0C" w14:textId="778EB56F" w:rsidR="00C36C47" w:rsidRDefault="002C3965" w:rsidP="002C3965">
      <w:pPr>
        <w:pStyle w:val="ListParagraph"/>
        <w:numPr>
          <w:ilvl w:val="0"/>
          <w:numId w:val="10"/>
        </w:numPr>
      </w:pPr>
      <w:r w:rsidRPr="00DA4654">
        <w:t xml:space="preserve">Beta Heart Care for the Caregiver Toolkit:  </w:t>
      </w:r>
      <w:r w:rsidR="00C36C47" w:rsidRPr="00DA4654">
        <w:t>Information on development</w:t>
      </w:r>
      <w:r w:rsidR="00C36C47" w:rsidRPr="00543E1C">
        <w:t xml:space="preserve"> and implementation of a program. </w:t>
      </w:r>
    </w:p>
    <w:p w14:paraId="38D3482E" w14:textId="65EA75D4" w:rsidR="00DA4654" w:rsidRPr="00543E1C" w:rsidRDefault="007A42CA" w:rsidP="00DA4654">
      <w:pPr>
        <w:pStyle w:val="ListParagraph"/>
        <w:numPr>
          <w:ilvl w:val="1"/>
          <w:numId w:val="10"/>
        </w:numPr>
      </w:pPr>
      <w:hyperlink r:id="rId11" w:history="1">
        <w:r w:rsidR="00DA4654">
          <w:rPr>
            <w:rStyle w:val="Hyperlink"/>
          </w:rPr>
          <w:t>https://www.betahg.com/beta-heart-care-for-the-caregiver/</w:t>
        </w:r>
      </w:hyperlink>
    </w:p>
    <w:p w14:paraId="7CB8B860" w14:textId="77777777" w:rsidR="002C3965" w:rsidRPr="006D5B16" w:rsidRDefault="002C3965" w:rsidP="002C3965">
      <w:pPr>
        <w:rPr>
          <w:highlight w:val="yellow"/>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3"/>
        <w:gridCol w:w="1657"/>
        <w:gridCol w:w="3060"/>
        <w:gridCol w:w="3960"/>
        <w:gridCol w:w="3140"/>
      </w:tblGrid>
      <w:tr w:rsidR="00431861" w14:paraId="2D84679F" w14:textId="77777777" w:rsidTr="00E031F3">
        <w:trPr>
          <w:trHeight w:val="421"/>
          <w:tblHeader/>
        </w:trPr>
        <w:tc>
          <w:tcPr>
            <w:tcW w:w="14380" w:type="dxa"/>
            <w:gridSpan w:val="5"/>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B91A56F" w14:textId="77777777" w:rsidR="00431861" w:rsidRPr="00431861" w:rsidRDefault="00431861">
            <w:pPr>
              <w:pStyle w:val="NormalWeb"/>
              <w:rPr>
                <w:rFonts w:ascii="Arial" w:hAnsi="Arial" w:cs="Arial"/>
                <w:sz w:val="18"/>
                <w:szCs w:val="18"/>
              </w:rPr>
            </w:pPr>
            <w:bookmarkStart w:id="0" w:name="_Hlk65334163"/>
            <w:bookmarkStart w:id="1" w:name="_Hlk65334473"/>
            <w:bookmarkStart w:id="2" w:name="_Hlk65335141"/>
            <w:bookmarkStart w:id="3" w:name="_Hlk65335258"/>
            <w:bookmarkStart w:id="4" w:name="_Hlk65335444"/>
            <w:r w:rsidRPr="00431861">
              <w:rPr>
                <w:rFonts w:ascii="Arial" w:hAnsi="Arial" w:cs="Arial"/>
                <w:b/>
                <w:bCs/>
                <w:color w:val="1F497D"/>
                <w:sz w:val="18"/>
                <w:szCs w:val="18"/>
              </w:rPr>
              <w:t xml:space="preserve">Table 1. Established Resources for Support </w:t>
            </w:r>
          </w:p>
        </w:tc>
      </w:tr>
      <w:tr w:rsidR="00431861" w14:paraId="31A28DBA" w14:textId="77777777" w:rsidTr="00E031F3">
        <w:trPr>
          <w:trHeight w:val="349"/>
          <w:tblHeader/>
        </w:trPr>
        <w:tc>
          <w:tcPr>
            <w:tcW w:w="256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EB36A3F" w14:textId="3D10EAC6" w:rsidR="00431861" w:rsidRPr="00431861" w:rsidRDefault="00431861">
            <w:pPr>
              <w:pStyle w:val="NormalWeb"/>
              <w:rPr>
                <w:rFonts w:ascii="Arial" w:hAnsi="Arial" w:cs="Arial"/>
                <w:b/>
                <w:bCs/>
                <w:color w:val="1F497D"/>
                <w:sz w:val="18"/>
                <w:szCs w:val="18"/>
              </w:rPr>
            </w:pPr>
            <w:r w:rsidRPr="00431861">
              <w:rPr>
                <w:rFonts w:ascii="Arial" w:hAnsi="Arial" w:cs="Arial"/>
                <w:b/>
                <w:bCs/>
                <w:color w:val="1F497D"/>
                <w:sz w:val="18"/>
                <w:szCs w:val="18"/>
              </w:rPr>
              <w:t>Title of Program</w:t>
            </w:r>
          </w:p>
        </w:tc>
        <w:tc>
          <w:tcPr>
            <w:tcW w:w="16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3FFDE68" w14:textId="18366F8B" w:rsidR="00431861" w:rsidRPr="00431861" w:rsidRDefault="00431861">
            <w:pPr>
              <w:pStyle w:val="NormalWeb"/>
              <w:rPr>
                <w:rFonts w:ascii="Arial" w:hAnsi="Arial" w:cs="Arial"/>
                <w:b/>
                <w:color w:val="1F497D"/>
                <w:sz w:val="18"/>
                <w:szCs w:val="18"/>
              </w:rPr>
            </w:pPr>
            <w:r w:rsidRPr="00431861">
              <w:rPr>
                <w:rFonts w:ascii="Arial" w:hAnsi="Arial" w:cs="Arial"/>
                <w:b/>
                <w:color w:val="1F497D"/>
                <w:sz w:val="18"/>
                <w:szCs w:val="18"/>
              </w:rPr>
              <w:t>Implementation Date</w:t>
            </w:r>
          </w:p>
        </w:tc>
        <w:tc>
          <w:tcPr>
            <w:tcW w:w="30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A042ECC" w14:textId="4F0AF63F" w:rsidR="00431861" w:rsidRPr="00431861" w:rsidRDefault="00431861">
            <w:pPr>
              <w:pStyle w:val="NormalWeb"/>
              <w:rPr>
                <w:rFonts w:ascii="Arial" w:hAnsi="Arial" w:cs="Arial"/>
                <w:b/>
                <w:color w:val="1F497D"/>
                <w:sz w:val="18"/>
                <w:szCs w:val="18"/>
              </w:rPr>
            </w:pPr>
            <w:r w:rsidRPr="00431861">
              <w:rPr>
                <w:rFonts w:ascii="Arial" w:hAnsi="Arial" w:cs="Arial"/>
                <w:b/>
                <w:color w:val="1F497D"/>
                <w:sz w:val="18"/>
                <w:szCs w:val="18"/>
              </w:rPr>
              <w:t>Description</w:t>
            </w:r>
          </w:p>
        </w:tc>
        <w:tc>
          <w:tcPr>
            <w:tcW w:w="39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D841B0E" w14:textId="1FD1FFF2" w:rsidR="00431861" w:rsidRPr="00431861" w:rsidRDefault="00431861">
            <w:pPr>
              <w:pStyle w:val="NormalWeb"/>
              <w:rPr>
                <w:rFonts w:ascii="Arial" w:hAnsi="Arial" w:cs="Arial"/>
                <w:b/>
                <w:color w:val="1F497D"/>
                <w:sz w:val="18"/>
                <w:szCs w:val="18"/>
              </w:rPr>
            </w:pPr>
            <w:r w:rsidRPr="00431861">
              <w:rPr>
                <w:rFonts w:ascii="Arial" w:hAnsi="Arial" w:cs="Arial"/>
                <w:b/>
                <w:color w:val="1F497D"/>
                <w:sz w:val="18"/>
                <w:szCs w:val="18"/>
              </w:rPr>
              <w:t>Details</w:t>
            </w:r>
          </w:p>
        </w:tc>
        <w:tc>
          <w:tcPr>
            <w:tcW w:w="31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00EC4D8" w14:textId="5C9D367A" w:rsidR="00431861" w:rsidRPr="00431861" w:rsidRDefault="00431861">
            <w:pPr>
              <w:pStyle w:val="NormalWeb"/>
              <w:rPr>
                <w:rFonts w:ascii="Arial" w:hAnsi="Arial" w:cs="Arial"/>
                <w:b/>
                <w:color w:val="1F497D"/>
                <w:sz w:val="18"/>
                <w:szCs w:val="18"/>
              </w:rPr>
            </w:pPr>
            <w:r w:rsidRPr="00431861">
              <w:rPr>
                <w:rFonts w:ascii="Arial" w:hAnsi="Arial" w:cs="Arial"/>
                <w:b/>
                <w:color w:val="1F497D"/>
                <w:sz w:val="18"/>
                <w:szCs w:val="18"/>
              </w:rPr>
              <w:t>Link</w:t>
            </w:r>
          </w:p>
        </w:tc>
      </w:tr>
      <w:tr w:rsidR="00267436" w14:paraId="514645EB" w14:textId="77777777" w:rsidTr="00E031F3">
        <w:trPr>
          <w:trHeight w:val="1411"/>
        </w:trPr>
        <w:tc>
          <w:tcPr>
            <w:tcW w:w="2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B87FF80" w14:textId="262F6D8E" w:rsidR="00267436" w:rsidRPr="00431861" w:rsidRDefault="00267436" w:rsidP="00267436">
            <w:pPr>
              <w:pStyle w:val="NormalWeb"/>
              <w:rPr>
                <w:rFonts w:ascii="Arial" w:hAnsi="Arial" w:cs="Arial"/>
                <w:sz w:val="18"/>
                <w:szCs w:val="18"/>
              </w:rPr>
            </w:pPr>
            <w:r w:rsidRPr="00431861">
              <w:rPr>
                <w:rFonts w:ascii="Arial" w:hAnsi="Arial" w:cs="Arial"/>
                <w:color w:val="1F497D"/>
                <w:sz w:val="18"/>
                <w:szCs w:val="18"/>
              </w:rPr>
              <w:t>Nationwide Children’s Hospital You Matter Program</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B61A8F1" w14:textId="15FD1D4B" w:rsidR="00267436" w:rsidRPr="004D3308" w:rsidRDefault="00267436" w:rsidP="00E031F3">
            <w:pPr>
              <w:pStyle w:val="NormalWeb"/>
              <w:jc w:val="center"/>
              <w:rPr>
                <w:rFonts w:ascii="Arial" w:hAnsi="Arial" w:cs="Arial"/>
                <w:sz w:val="18"/>
                <w:szCs w:val="18"/>
              </w:rPr>
            </w:pPr>
            <w:r w:rsidRPr="004D3308">
              <w:rPr>
                <w:rFonts w:ascii="Arial" w:hAnsi="Arial" w:cs="Arial"/>
                <w:sz w:val="18"/>
                <w:szCs w:val="18"/>
              </w:rPr>
              <w:t>November 2013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AFE6B" w14:textId="71017580" w:rsidR="00267436" w:rsidRPr="004D3308" w:rsidRDefault="00267436" w:rsidP="00267436">
            <w:pPr>
              <w:pStyle w:val="NormalWeb"/>
              <w:rPr>
                <w:rFonts w:ascii="Arial" w:hAnsi="Arial" w:cs="Arial"/>
                <w:sz w:val="18"/>
                <w:szCs w:val="18"/>
              </w:rPr>
            </w:pPr>
            <w:r w:rsidRPr="004D3308">
              <w:rPr>
                <w:rFonts w:ascii="Arial" w:hAnsi="Arial" w:cs="Arial"/>
                <w:sz w:val="18"/>
                <w:szCs w:val="18"/>
              </w:rPr>
              <w:t>Second Victim Peer Support Program</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F12AE" w14:textId="01B737D7" w:rsidR="00267436" w:rsidRPr="004D3308" w:rsidRDefault="00267436" w:rsidP="00267436">
            <w:pPr>
              <w:pStyle w:val="NormalWeb"/>
              <w:rPr>
                <w:rFonts w:ascii="Arial" w:hAnsi="Arial" w:cs="Arial"/>
                <w:sz w:val="18"/>
                <w:szCs w:val="18"/>
              </w:rPr>
            </w:pPr>
            <w:r w:rsidRPr="004D3308">
              <w:rPr>
                <w:rFonts w:ascii="Arial" w:hAnsi="Arial" w:cs="Arial"/>
                <w:sz w:val="18"/>
                <w:szCs w:val="18"/>
              </w:rPr>
              <w:t>Individual and group support is provided for staff of Nationwide Children’s Hospital 24 hours a day through peers from all disciplines. </w:t>
            </w:r>
          </w:p>
        </w:tc>
        <w:tc>
          <w:tcPr>
            <w:tcW w:w="3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03D2E" w14:textId="10F3B42C" w:rsidR="00267436" w:rsidRPr="006773AB" w:rsidRDefault="007A42CA" w:rsidP="00267436">
            <w:pPr>
              <w:rPr>
                <w:sz w:val="18"/>
                <w:szCs w:val="18"/>
                <w:lang w:val="en-US"/>
              </w:rPr>
            </w:pPr>
            <w:hyperlink r:id="rId12" w:history="1">
              <w:r w:rsidR="00864C0F" w:rsidRPr="00864C0F">
                <w:rPr>
                  <w:rStyle w:val="Hyperlink"/>
                  <w:sz w:val="18"/>
                  <w:szCs w:val="18"/>
                </w:rPr>
                <w:t>https://www.nationwidechildrens.org/careers/you-matter-program</w:t>
              </w:r>
            </w:hyperlink>
          </w:p>
        </w:tc>
      </w:tr>
      <w:bookmarkEnd w:id="0"/>
      <w:tr w:rsidR="00267436" w14:paraId="73930652" w14:textId="77777777" w:rsidTr="00E031F3">
        <w:trPr>
          <w:trHeight w:val="723"/>
        </w:trPr>
        <w:tc>
          <w:tcPr>
            <w:tcW w:w="2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BDB3F7" w14:textId="77777777" w:rsidR="00081F8F" w:rsidRPr="00081F8F" w:rsidRDefault="00081F8F" w:rsidP="00081F8F">
            <w:pPr>
              <w:pStyle w:val="NormalWeb"/>
              <w:rPr>
                <w:rFonts w:ascii="Arial" w:hAnsi="Arial" w:cs="Arial"/>
                <w:color w:val="002060"/>
                <w:sz w:val="18"/>
                <w:szCs w:val="18"/>
              </w:rPr>
            </w:pPr>
            <w:r w:rsidRPr="00081F8F">
              <w:rPr>
                <w:rFonts w:ascii="Arial" w:hAnsi="Arial" w:cs="Arial"/>
                <w:color w:val="002060"/>
                <w:sz w:val="18"/>
                <w:szCs w:val="18"/>
              </w:rPr>
              <w:t xml:space="preserve">Caring for the Caregiver: Implementing RISE (Resilience in Stressful Events)  </w:t>
            </w:r>
          </w:p>
          <w:p w14:paraId="0FF51B8B" w14:textId="24ADD98F" w:rsidR="00267436" w:rsidRPr="00A6429C" w:rsidRDefault="00081F8F" w:rsidP="00081F8F">
            <w:pPr>
              <w:pStyle w:val="NormalWeb"/>
              <w:rPr>
                <w:rFonts w:ascii="Arial" w:hAnsi="Arial" w:cs="Arial"/>
                <w:color w:val="002060"/>
                <w:sz w:val="18"/>
                <w:szCs w:val="18"/>
              </w:rPr>
            </w:pPr>
            <w:r w:rsidRPr="00081F8F">
              <w:rPr>
                <w:rFonts w:ascii="Arial" w:hAnsi="Arial" w:cs="Arial"/>
                <w:color w:val="002060"/>
                <w:sz w:val="18"/>
                <w:szCs w:val="18"/>
              </w:rPr>
              <w:t>Johns Hopkins Medicine and the Maryland Patient Safety Center</w:t>
            </w:r>
          </w:p>
        </w:tc>
        <w:tc>
          <w:tcPr>
            <w:tcW w:w="16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E6ECC" w14:textId="00E1FD20" w:rsidR="00267436" w:rsidRPr="004D3308" w:rsidRDefault="00267436" w:rsidP="00E031F3">
            <w:pPr>
              <w:pStyle w:val="NormalWeb"/>
              <w:jc w:val="center"/>
              <w:rPr>
                <w:rFonts w:ascii="Arial" w:hAnsi="Arial" w:cs="Arial"/>
                <w:sz w:val="18"/>
                <w:szCs w:val="18"/>
              </w:rPr>
            </w:pPr>
            <w:r w:rsidRPr="004D3308">
              <w:rPr>
                <w:rFonts w:ascii="Arial" w:hAnsi="Arial" w:cs="Arial"/>
                <w:sz w:val="18"/>
                <w:szCs w:val="18"/>
              </w:rPr>
              <w:t>2011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D7702" w14:textId="0AA523EF" w:rsidR="00267436" w:rsidRPr="004D3308" w:rsidRDefault="00FA16EA" w:rsidP="00267436">
            <w:pPr>
              <w:pStyle w:val="NormalWeb"/>
              <w:rPr>
                <w:rFonts w:ascii="Arial" w:hAnsi="Arial" w:cs="Arial"/>
                <w:sz w:val="18"/>
                <w:szCs w:val="18"/>
              </w:rPr>
            </w:pPr>
            <w:r w:rsidRPr="004D3308">
              <w:rPr>
                <w:rFonts w:ascii="Arial" w:hAnsi="Arial" w:cs="Arial"/>
                <w:sz w:val="18"/>
                <w:szCs w:val="18"/>
                <w:shd w:val="clear" w:color="auto" w:fill="FFFFFF"/>
              </w:rPr>
              <w:t>Modeled after the RISE (Resilience in Stressful Events) program at Johns Hopkins Medicine this training program teaches you how to set up a healthcare specific, organization wide peer-to-peer support program.  A multi-disciplinary team of volunteers will be trained to respond and support a colleague dealing with work and/or patient related stressors from a variety of sources (i.e. medical error, unanticipated patient loss, workplace violence, burnout, etc.).</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456E1" w14:textId="77777777" w:rsidR="00E031F3" w:rsidRDefault="00E031F3" w:rsidP="00FA16EA">
            <w:pPr>
              <w:spacing w:line="240" w:lineRule="auto"/>
              <w:textAlignment w:val="baseline"/>
              <w:rPr>
                <w:rFonts w:eastAsiaTheme="minorHAnsi"/>
                <w:sz w:val="18"/>
                <w:szCs w:val="18"/>
              </w:rPr>
            </w:pPr>
          </w:p>
          <w:p w14:paraId="0E6D4B2B" w14:textId="4107A651" w:rsidR="00FA16EA" w:rsidRPr="004D3308" w:rsidRDefault="00FA16EA" w:rsidP="00FA16EA">
            <w:pPr>
              <w:spacing w:line="240" w:lineRule="auto"/>
              <w:textAlignment w:val="baseline"/>
              <w:rPr>
                <w:rFonts w:eastAsiaTheme="minorHAnsi"/>
                <w:sz w:val="18"/>
                <w:szCs w:val="18"/>
              </w:rPr>
            </w:pPr>
            <w:r w:rsidRPr="004D3308">
              <w:rPr>
                <w:rFonts w:eastAsiaTheme="minorHAnsi"/>
                <w:sz w:val="18"/>
                <w:szCs w:val="18"/>
              </w:rPr>
              <w:t xml:space="preserve">Lead by Johns Hopkins peer-support experts, this 2-day workshop trains institutional leadership, the identified peer responder team, and those responsible for future internal trainings and sustainment of the program. The workshop includes: </w:t>
            </w:r>
          </w:p>
          <w:p w14:paraId="412DAAB4" w14:textId="77777777" w:rsidR="00FA16EA" w:rsidRPr="004D3308" w:rsidRDefault="00FA16EA" w:rsidP="00FA16EA">
            <w:pPr>
              <w:spacing w:line="240" w:lineRule="auto"/>
              <w:textAlignment w:val="baseline"/>
              <w:rPr>
                <w:rFonts w:eastAsiaTheme="minorHAnsi"/>
                <w:sz w:val="18"/>
                <w:szCs w:val="18"/>
              </w:rPr>
            </w:pPr>
          </w:p>
          <w:p w14:paraId="0AE3DCB1" w14:textId="77777777" w:rsidR="00FA16EA" w:rsidRPr="004D3308" w:rsidRDefault="00FA16EA" w:rsidP="00FA16EA">
            <w:pPr>
              <w:numPr>
                <w:ilvl w:val="0"/>
                <w:numId w:val="17"/>
              </w:numPr>
              <w:spacing w:line="240" w:lineRule="auto"/>
              <w:ind w:left="300"/>
              <w:textAlignment w:val="baseline"/>
              <w:rPr>
                <w:sz w:val="18"/>
                <w:szCs w:val="18"/>
              </w:rPr>
            </w:pPr>
            <w:r w:rsidRPr="004D3308">
              <w:rPr>
                <w:sz w:val="18"/>
                <w:szCs w:val="18"/>
              </w:rPr>
              <w:t>Strategies for leadership buy-in and to navigate operational challenges</w:t>
            </w:r>
          </w:p>
          <w:p w14:paraId="62962759" w14:textId="77777777" w:rsidR="00FA16EA" w:rsidRPr="004D3308" w:rsidRDefault="00FA16EA" w:rsidP="00FA16EA">
            <w:pPr>
              <w:numPr>
                <w:ilvl w:val="0"/>
                <w:numId w:val="17"/>
              </w:numPr>
              <w:spacing w:line="240" w:lineRule="auto"/>
              <w:ind w:left="300"/>
              <w:textAlignment w:val="baseline"/>
              <w:rPr>
                <w:sz w:val="18"/>
                <w:szCs w:val="18"/>
              </w:rPr>
            </w:pPr>
            <w:r w:rsidRPr="004D3308">
              <w:rPr>
                <w:sz w:val="18"/>
                <w:szCs w:val="18"/>
              </w:rPr>
              <w:t>Guidance on recruiting and retaining peer responders</w:t>
            </w:r>
          </w:p>
          <w:p w14:paraId="35707240" w14:textId="77777777" w:rsidR="00FA16EA" w:rsidRPr="004D3308" w:rsidRDefault="00FA16EA" w:rsidP="00FA16EA">
            <w:pPr>
              <w:numPr>
                <w:ilvl w:val="0"/>
                <w:numId w:val="17"/>
              </w:numPr>
              <w:spacing w:line="240" w:lineRule="auto"/>
              <w:ind w:left="300"/>
              <w:textAlignment w:val="baseline"/>
              <w:rPr>
                <w:sz w:val="18"/>
                <w:szCs w:val="18"/>
              </w:rPr>
            </w:pPr>
            <w:r w:rsidRPr="004D3308">
              <w:rPr>
                <w:sz w:val="18"/>
                <w:szCs w:val="18"/>
              </w:rPr>
              <w:t>Skill-building activities</w:t>
            </w:r>
          </w:p>
          <w:p w14:paraId="35DBD0D3" w14:textId="77777777" w:rsidR="00FA16EA" w:rsidRPr="004D3308" w:rsidRDefault="00FA16EA" w:rsidP="00FA16EA">
            <w:pPr>
              <w:numPr>
                <w:ilvl w:val="0"/>
                <w:numId w:val="17"/>
              </w:numPr>
              <w:spacing w:line="240" w:lineRule="auto"/>
              <w:ind w:left="300"/>
              <w:textAlignment w:val="baseline"/>
              <w:rPr>
                <w:sz w:val="18"/>
                <w:szCs w:val="18"/>
              </w:rPr>
            </w:pPr>
            <w:r w:rsidRPr="004D3308">
              <w:rPr>
                <w:sz w:val="18"/>
                <w:szCs w:val="18"/>
              </w:rPr>
              <w:t>Strategies for rolling out and sustaining </w:t>
            </w:r>
            <w:r w:rsidRPr="004D3308">
              <w:rPr>
                <w:i/>
                <w:iCs/>
                <w:sz w:val="18"/>
                <w:szCs w:val="18"/>
                <w:bdr w:val="none" w:sz="0" w:space="0" w:color="auto" w:frame="1"/>
              </w:rPr>
              <w:t>Caring for the Caregiver</w:t>
            </w:r>
          </w:p>
          <w:p w14:paraId="428CC4C7" w14:textId="77777777" w:rsidR="007316BC" w:rsidRPr="004D3308" w:rsidRDefault="007316BC" w:rsidP="007316BC">
            <w:pPr>
              <w:ind w:left="300"/>
              <w:textAlignment w:val="baseline"/>
              <w:rPr>
                <w:rFonts w:eastAsiaTheme="minorHAnsi"/>
                <w:sz w:val="18"/>
                <w:szCs w:val="18"/>
              </w:rPr>
            </w:pPr>
          </w:p>
          <w:p w14:paraId="64057934" w14:textId="0530B8BF" w:rsidR="00A6429C" w:rsidRDefault="00FA16EA" w:rsidP="007316BC">
            <w:pPr>
              <w:pStyle w:val="NormalWeb"/>
              <w:rPr>
                <w:rFonts w:ascii="Arial" w:hAnsi="Arial" w:cs="Arial"/>
                <w:sz w:val="18"/>
                <w:szCs w:val="18"/>
                <w:lang w:val="en"/>
              </w:rPr>
            </w:pPr>
            <w:r w:rsidRPr="004D3308">
              <w:rPr>
                <w:rFonts w:ascii="Arial" w:hAnsi="Arial" w:cs="Arial"/>
                <w:sz w:val="18"/>
                <w:szCs w:val="18"/>
                <w:lang w:val="en"/>
              </w:rPr>
              <w:t>Workshop participants will also receive all the necessary materials to support the program, access to an online portal for training videos, publications, communications, templates, etc.  Furthermore, participating organizations are included in the nationwide network of “CFC/RISE Partners” for shared learning opportunities and networking</w:t>
            </w:r>
          </w:p>
          <w:p w14:paraId="392C3A4C" w14:textId="77777777" w:rsidR="003D1AC9" w:rsidRDefault="003D1AC9" w:rsidP="007316BC">
            <w:pPr>
              <w:pStyle w:val="NormalWeb"/>
              <w:rPr>
                <w:rFonts w:ascii="Arial" w:hAnsi="Arial" w:cs="Arial"/>
                <w:sz w:val="18"/>
                <w:szCs w:val="18"/>
                <w:lang w:val="en"/>
              </w:rPr>
            </w:pPr>
          </w:p>
          <w:p w14:paraId="3DAB349C" w14:textId="754E9DB7" w:rsidR="00E031F3" w:rsidRPr="004D3308" w:rsidRDefault="00E031F3" w:rsidP="007316BC">
            <w:pPr>
              <w:pStyle w:val="NormalWeb"/>
              <w:rPr>
                <w:rFonts w:ascii="Arial" w:hAnsi="Arial" w:cs="Arial"/>
                <w:sz w:val="18"/>
                <w:szCs w:val="18"/>
              </w:rPr>
            </w:pPr>
          </w:p>
        </w:tc>
        <w:tc>
          <w:tcPr>
            <w:tcW w:w="3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C973D" w14:textId="77777777" w:rsidR="001E0AEC" w:rsidRDefault="001E0AEC" w:rsidP="001E0AEC">
            <w:pPr>
              <w:pStyle w:val="NormalWeb"/>
              <w:rPr>
                <w:rFonts w:ascii="Arial" w:hAnsi="Arial" w:cs="Arial"/>
                <w:sz w:val="18"/>
                <w:szCs w:val="18"/>
                <w:lang w:val="en"/>
              </w:rPr>
            </w:pPr>
          </w:p>
          <w:p w14:paraId="75E2B1E6" w14:textId="77777777" w:rsidR="001E0AEC" w:rsidRPr="001E0AEC" w:rsidRDefault="007A42CA" w:rsidP="001E0AEC">
            <w:pPr>
              <w:pStyle w:val="NormalWeb"/>
              <w:rPr>
                <w:rFonts w:ascii="Arial" w:hAnsi="Arial" w:cs="Arial"/>
                <w:sz w:val="18"/>
                <w:szCs w:val="18"/>
              </w:rPr>
            </w:pPr>
            <w:hyperlink r:id="rId13" w:history="1">
              <w:r w:rsidR="001E0AEC" w:rsidRPr="001E0AEC">
                <w:rPr>
                  <w:rStyle w:val="Hyperlink"/>
                  <w:rFonts w:ascii="Arial" w:hAnsi="Arial" w:cs="Arial"/>
                  <w:sz w:val="18"/>
                  <w:szCs w:val="18"/>
                </w:rPr>
                <w:t>https://www.johnshopkinssolutions.com/solution/rise-peer-support-for-caregivers-in-distress/</w:t>
              </w:r>
            </w:hyperlink>
          </w:p>
          <w:p w14:paraId="13BEE7F8" w14:textId="77777777" w:rsidR="001E0AEC" w:rsidRPr="001E0AEC" w:rsidRDefault="001E0AEC" w:rsidP="001E0AEC">
            <w:pPr>
              <w:pStyle w:val="NormalWeb"/>
              <w:rPr>
                <w:rFonts w:ascii="Arial" w:hAnsi="Arial" w:cs="Arial"/>
                <w:sz w:val="18"/>
                <w:szCs w:val="18"/>
                <w:lang w:val="en"/>
              </w:rPr>
            </w:pPr>
          </w:p>
          <w:p w14:paraId="2D75B5F2" w14:textId="48EAE1BB" w:rsidR="001E0AEC" w:rsidRPr="001E0AEC" w:rsidRDefault="007A42CA" w:rsidP="001E0AEC">
            <w:pPr>
              <w:pStyle w:val="NormalWeb"/>
              <w:rPr>
                <w:rFonts w:ascii="Arial" w:hAnsi="Arial" w:cs="Arial"/>
                <w:sz w:val="18"/>
                <w:szCs w:val="18"/>
              </w:rPr>
            </w:pPr>
            <w:hyperlink r:id="rId14" w:history="1">
              <w:r w:rsidR="001E0AEC" w:rsidRPr="001E0AEC">
                <w:rPr>
                  <w:rStyle w:val="Hyperlink"/>
                  <w:rFonts w:ascii="Arial" w:hAnsi="Arial" w:cs="Arial"/>
                  <w:sz w:val="18"/>
                  <w:szCs w:val="18"/>
                  <w:lang w:val="en"/>
                </w:rPr>
                <w:t>http://www.marylandpatientsafety.org/Caregiver.aspx</w:t>
              </w:r>
            </w:hyperlink>
          </w:p>
          <w:p w14:paraId="6C0E16F1" w14:textId="0FC9029B" w:rsidR="00A6429C" w:rsidRPr="006773AB" w:rsidRDefault="00A6429C" w:rsidP="007316BC">
            <w:pPr>
              <w:pStyle w:val="NormalWeb"/>
              <w:rPr>
                <w:rFonts w:ascii="Arial" w:hAnsi="Arial" w:cs="Arial"/>
                <w:sz w:val="18"/>
                <w:szCs w:val="18"/>
              </w:rPr>
            </w:pPr>
          </w:p>
        </w:tc>
      </w:tr>
      <w:bookmarkEnd w:id="1"/>
      <w:tr w:rsidR="006773AB" w14:paraId="00DAFC33" w14:textId="77777777" w:rsidTr="00E031F3">
        <w:trPr>
          <w:trHeight w:val="344"/>
        </w:trPr>
        <w:tc>
          <w:tcPr>
            <w:tcW w:w="2563"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6A6671D8" w14:textId="34CB40E5" w:rsidR="006773AB" w:rsidRPr="00725126" w:rsidRDefault="006773AB" w:rsidP="006773AB">
            <w:pPr>
              <w:pStyle w:val="NormalWeb"/>
              <w:rPr>
                <w:rFonts w:ascii="Arial" w:hAnsi="Arial" w:cs="Arial"/>
                <w:color w:val="002060"/>
                <w:sz w:val="18"/>
                <w:szCs w:val="18"/>
                <w:highlight w:val="yellow"/>
              </w:rPr>
            </w:pPr>
            <w:r w:rsidRPr="006773AB">
              <w:rPr>
                <w:rFonts w:ascii="Arial" w:hAnsi="Arial" w:cs="Arial"/>
                <w:color w:val="002060"/>
                <w:sz w:val="18"/>
                <w:szCs w:val="18"/>
              </w:rPr>
              <w:t>Brigham and Women’s Peer to Peer Support Program</w:t>
            </w:r>
          </w:p>
        </w:tc>
        <w:tc>
          <w:tcPr>
            <w:tcW w:w="16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72A679F" w14:textId="671255E5" w:rsidR="006773AB" w:rsidRPr="004D3308" w:rsidRDefault="006773AB" w:rsidP="00E031F3">
            <w:pPr>
              <w:pStyle w:val="NormalWeb"/>
              <w:jc w:val="center"/>
              <w:rPr>
                <w:rFonts w:ascii="Arial" w:hAnsi="Arial" w:cs="Arial"/>
                <w:sz w:val="18"/>
                <w:szCs w:val="18"/>
                <w:highlight w:val="yellow"/>
              </w:rPr>
            </w:pPr>
            <w:r w:rsidRPr="004D3308">
              <w:rPr>
                <w:rFonts w:ascii="Arial" w:hAnsi="Arial" w:cs="Arial"/>
                <w:sz w:val="18"/>
                <w:szCs w:val="18"/>
                <w:lang w:val="en"/>
              </w:rPr>
              <w:t>2008</w:t>
            </w:r>
          </w:p>
        </w:tc>
        <w:tc>
          <w:tcPr>
            <w:tcW w:w="30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0D63E24" w14:textId="749D7758" w:rsidR="006773AB" w:rsidRPr="004D3308" w:rsidRDefault="006773AB" w:rsidP="006773AB">
            <w:pPr>
              <w:pStyle w:val="NormalWeb"/>
              <w:rPr>
                <w:rFonts w:ascii="Arial" w:hAnsi="Arial" w:cs="Arial"/>
                <w:sz w:val="18"/>
                <w:szCs w:val="18"/>
                <w:highlight w:val="yellow"/>
              </w:rPr>
            </w:pPr>
            <w:r w:rsidRPr="004D3308">
              <w:rPr>
                <w:rFonts w:ascii="Arial" w:hAnsi="Arial" w:cs="Arial"/>
                <w:sz w:val="18"/>
                <w:szCs w:val="18"/>
                <w:lang w:val="en"/>
              </w:rPr>
              <w:t>Outreach to any member of the healthcare team involved in emotionally stressful events such as: adverse events, errors, difficult patient interactions, or being named in a lawsuit.  </w:t>
            </w:r>
          </w:p>
        </w:tc>
        <w:tc>
          <w:tcPr>
            <w:tcW w:w="39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61ABCD4" w14:textId="57F85A9C" w:rsidR="006773AB" w:rsidRPr="004D3308" w:rsidRDefault="006773AB" w:rsidP="006773AB">
            <w:pPr>
              <w:pStyle w:val="NormalWeb"/>
              <w:rPr>
                <w:rFonts w:ascii="Arial" w:hAnsi="Arial" w:cs="Arial"/>
                <w:sz w:val="18"/>
                <w:szCs w:val="18"/>
                <w:highlight w:val="yellow"/>
              </w:rPr>
            </w:pPr>
            <w:r w:rsidRPr="004D3308">
              <w:rPr>
                <w:rFonts w:ascii="Arial" w:hAnsi="Arial" w:cs="Arial"/>
                <w:sz w:val="18"/>
                <w:szCs w:val="18"/>
                <w:lang w:val="en"/>
              </w:rPr>
              <w:t> </w:t>
            </w:r>
            <w:r w:rsidRPr="004D3308">
              <w:rPr>
                <w:rFonts w:ascii="Arial" w:hAnsi="Arial" w:cs="Arial"/>
                <w:sz w:val="18"/>
                <w:szCs w:val="18"/>
              </w:rPr>
              <w:t>24/7 support provided by trained clinician peer supporters from various disciplines who are not mental health practitioners.  </w:t>
            </w:r>
          </w:p>
        </w:tc>
        <w:tc>
          <w:tcPr>
            <w:tcW w:w="31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CA504A" w14:textId="6A07DC06" w:rsidR="001E0AEC" w:rsidRDefault="007A42CA" w:rsidP="001E0AEC">
            <w:pPr>
              <w:pStyle w:val="NormalWeb"/>
              <w:spacing w:after="0" w:afterAutospacing="0"/>
              <w:rPr>
                <w:rFonts w:ascii="Arial" w:hAnsi="Arial" w:cs="Arial"/>
                <w:sz w:val="18"/>
                <w:szCs w:val="18"/>
              </w:rPr>
            </w:pPr>
            <w:hyperlink r:id="rId15" w:history="1">
              <w:r w:rsidR="001E0AEC" w:rsidRPr="001E0AEC">
                <w:rPr>
                  <w:rStyle w:val="Hyperlink"/>
                  <w:rFonts w:ascii="Arial" w:hAnsi="Arial" w:cs="Arial"/>
                  <w:sz w:val="18"/>
                  <w:szCs w:val="18"/>
                </w:rPr>
                <w:t>https://www.brighamandwomens.org/about-bwh/omcoss/peer-support-program</w:t>
              </w:r>
            </w:hyperlink>
          </w:p>
          <w:p w14:paraId="6ACACB02" w14:textId="43B2BAB2" w:rsidR="001E0AEC" w:rsidRPr="001E0AEC" w:rsidRDefault="001E0AEC" w:rsidP="007C786B">
            <w:pPr>
              <w:pStyle w:val="NormalWeb"/>
              <w:spacing w:after="0" w:afterAutospacing="0"/>
              <w:ind w:left="360"/>
              <w:rPr>
                <w:rFonts w:ascii="Arial" w:hAnsi="Arial" w:cs="Arial"/>
                <w:sz w:val="18"/>
                <w:szCs w:val="18"/>
              </w:rPr>
            </w:pPr>
            <w:bookmarkStart w:id="5" w:name="_GoBack"/>
            <w:bookmarkEnd w:id="5"/>
          </w:p>
        </w:tc>
      </w:tr>
      <w:bookmarkEnd w:id="2"/>
      <w:tr w:rsidR="00C9698B" w14:paraId="15FBCFB9" w14:textId="77777777" w:rsidTr="00E031F3">
        <w:trPr>
          <w:trHeight w:val="344"/>
        </w:trPr>
        <w:tc>
          <w:tcPr>
            <w:tcW w:w="2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DC6AF6A" w14:textId="47DA27F6" w:rsidR="00C9698B" w:rsidRPr="006773AB" w:rsidRDefault="00C9698B" w:rsidP="00C9698B">
            <w:pPr>
              <w:pStyle w:val="NormalWeb"/>
              <w:rPr>
                <w:rFonts w:ascii="Arial" w:hAnsi="Arial" w:cs="Arial"/>
                <w:color w:val="002060"/>
                <w:sz w:val="18"/>
                <w:szCs w:val="18"/>
              </w:rPr>
            </w:pPr>
            <w:r w:rsidRPr="00C9698B">
              <w:rPr>
                <w:rFonts w:ascii="Arial" w:eastAsiaTheme="minorHAnsi" w:hAnsi="Arial" w:cs="Arial"/>
                <w:color w:val="002060"/>
                <w:sz w:val="18"/>
                <w:szCs w:val="18"/>
                <w:lang w:val="en"/>
              </w:rPr>
              <w:t>UNC Health Care Emotional Support and Mental Health Resources</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47A95" w14:textId="15C539AA" w:rsidR="00C9698B" w:rsidRPr="006773AB" w:rsidRDefault="00C9698B" w:rsidP="00E031F3">
            <w:pPr>
              <w:pStyle w:val="NormalWeb"/>
              <w:jc w:val="center"/>
              <w:rPr>
                <w:rFonts w:ascii="Arial" w:hAnsi="Arial" w:cs="Arial"/>
                <w:sz w:val="18"/>
                <w:szCs w:val="18"/>
                <w:lang w:val="en"/>
              </w:rPr>
            </w:pPr>
            <w:r>
              <w:rPr>
                <w:rFonts w:ascii="Arial" w:eastAsiaTheme="minorHAnsi" w:hAnsi="Arial" w:cs="Arial"/>
                <w:sz w:val="18"/>
                <w:szCs w:val="18"/>
                <w:lang w:val="en"/>
              </w:rPr>
              <w:t>2017</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F8776" w14:textId="152842B1" w:rsidR="00C9698B" w:rsidRPr="006773AB" w:rsidRDefault="00C9698B" w:rsidP="00C9698B">
            <w:pPr>
              <w:pStyle w:val="NormalWeb"/>
              <w:rPr>
                <w:rFonts w:ascii="Arial" w:hAnsi="Arial" w:cs="Arial"/>
                <w:sz w:val="18"/>
                <w:szCs w:val="18"/>
                <w:lang w:val="en"/>
              </w:rPr>
            </w:pPr>
            <w:r w:rsidRPr="00C9698B">
              <w:rPr>
                <w:rFonts w:ascii="Arial" w:hAnsi="Arial" w:cs="Arial"/>
                <w:sz w:val="18"/>
                <w:szCs w:val="18"/>
                <w:lang w:val="en"/>
              </w:rPr>
              <w:t>The UNC Well-Being Program has several resources designed to provide emotional support and promote mental health.  This program is for employees throughout the UNC Health Care System.</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932B62" w14:textId="77777777" w:rsidR="00C9698B" w:rsidRDefault="00C9698B" w:rsidP="00C9698B">
            <w:pPr>
              <w:pStyle w:val="NormalWeb"/>
              <w:spacing w:before="0" w:beforeAutospacing="0" w:after="0" w:afterAutospacing="0" w:line="276" w:lineRule="auto"/>
              <w:rPr>
                <w:rFonts w:ascii="Arial" w:hAnsi="Arial" w:cs="Arial"/>
                <w:sz w:val="18"/>
                <w:szCs w:val="18"/>
              </w:rPr>
            </w:pPr>
            <w:r>
              <w:rPr>
                <w:rFonts w:ascii="Arial" w:hAnsi="Arial" w:cs="Arial"/>
                <w:sz w:val="18"/>
                <w:szCs w:val="18"/>
              </w:rPr>
              <w:t>A confidential warm support helpline staffed by licensed mental health professionals to provide supportive listening, access to resources, or a direct referral for therapy</w:t>
            </w:r>
          </w:p>
          <w:p w14:paraId="5CF43973" w14:textId="77777777" w:rsidR="00C9698B" w:rsidRDefault="00C9698B" w:rsidP="00C9698B">
            <w:pPr>
              <w:pStyle w:val="NormalWeb"/>
              <w:spacing w:before="0" w:beforeAutospacing="0" w:after="0" w:afterAutospacing="0" w:line="276" w:lineRule="auto"/>
              <w:rPr>
                <w:rFonts w:ascii="Arial" w:hAnsi="Arial" w:cs="Arial"/>
                <w:sz w:val="18"/>
                <w:szCs w:val="18"/>
              </w:rPr>
            </w:pPr>
          </w:p>
          <w:p w14:paraId="204CCB5E" w14:textId="77777777" w:rsidR="00C9698B" w:rsidRDefault="00C9698B" w:rsidP="00C9698B">
            <w:pPr>
              <w:pStyle w:val="NormalWeb"/>
              <w:spacing w:before="0" w:beforeAutospacing="0" w:after="0" w:afterAutospacing="0" w:line="276" w:lineRule="auto"/>
              <w:rPr>
                <w:rFonts w:ascii="Arial" w:hAnsi="Arial" w:cs="Arial"/>
                <w:sz w:val="18"/>
                <w:szCs w:val="18"/>
              </w:rPr>
            </w:pPr>
            <w:r>
              <w:rPr>
                <w:rFonts w:ascii="Arial" w:hAnsi="Arial" w:cs="Arial"/>
                <w:sz w:val="18"/>
                <w:szCs w:val="18"/>
              </w:rPr>
              <w:t>Virtual Support Groups led by Department of Psychiatry faculty addressing a constellation of issues related to self care and coping for individuals and their families</w:t>
            </w:r>
          </w:p>
          <w:p w14:paraId="3D229FC7" w14:textId="77777777" w:rsidR="00C9698B" w:rsidRDefault="00C9698B" w:rsidP="00C9698B">
            <w:pPr>
              <w:pStyle w:val="NormalWeb"/>
              <w:spacing w:before="0" w:beforeAutospacing="0" w:after="0" w:afterAutospacing="0" w:line="276" w:lineRule="auto"/>
              <w:rPr>
                <w:rFonts w:ascii="Arial" w:hAnsi="Arial" w:cs="Arial"/>
                <w:sz w:val="18"/>
                <w:szCs w:val="18"/>
              </w:rPr>
            </w:pPr>
          </w:p>
          <w:p w14:paraId="74586BD5" w14:textId="77777777" w:rsidR="00C9698B" w:rsidRDefault="00C9698B" w:rsidP="00C9698B">
            <w:pPr>
              <w:pStyle w:val="NormalWeb"/>
              <w:spacing w:before="0" w:beforeAutospacing="0" w:after="0" w:afterAutospacing="0" w:line="276" w:lineRule="auto"/>
              <w:rPr>
                <w:rFonts w:ascii="Arial" w:hAnsi="Arial" w:cs="Arial"/>
                <w:sz w:val="18"/>
                <w:szCs w:val="18"/>
              </w:rPr>
            </w:pPr>
            <w:r>
              <w:rPr>
                <w:rFonts w:ascii="Arial" w:hAnsi="Arial" w:cs="Arial"/>
                <w:sz w:val="18"/>
                <w:szCs w:val="18"/>
              </w:rPr>
              <w:t>Virtual Educational Webinars led by Department of Psychiatry faculty providing group-based sessions that include an overview of coping skills and strategies, as well as a clinician-led discussion</w:t>
            </w:r>
          </w:p>
          <w:p w14:paraId="7F2DC2B6" w14:textId="77777777" w:rsidR="00C9698B" w:rsidRDefault="00C9698B" w:rsidP="00C9698B">
            <w:pPr>
              <w:pStyle w:val="NormalWeb"/>
              <w:spacing w:before="0" w:beforeAutospacing="0" w:after="0" w:afterAutospacing="0" w:line="276" w:lineRule="auto"/>
              <w:rPr>
                <w:rFonts w:ascii="Arial" w:hAnsi="Arial" w:cs="Arial"/>
                <w:sz w:val="18"/>
                <w:szCs w:val="18"/>
              </w:rPr>
            </w:pPr>
          </w:p>
          <w:p w14:paraId="1993B588" w14:textId="77777777" w:rsidR="00C9698B" w:rsidRDefault="00C9698B" w:rsidP="00C9698B">
            <w:pPr>
              <w:pStyle w:val="NormalWeb"/>
              <w:spacing w:before="0" w:beforeAutospacing="0" w:after="0" w:afterAutospacing="0" w:line="276" w:lineRule="auto"/>
              <w:rPr>
                <w:rFonts w:ascii="Arial" w:hAnsi="Arial" w:cs="Arial"/>
                <w:sz w:val="18"/>
                <w:szCs w:val="18"/>
              </w:rPr>
            </w:pPr>
            <w:r>
              <w:rPr>
                <w:rFonts w:ascii="Arial" w:hAnsi="Arial" w:cs="Arial"/>
                <w:sz w:val="18"/>
                <w:szCs w:val="18"/>
              </w:rPr>
              <w:t>Stress First Aid Training designed to help provide compassionate assistance and increase coping longevity, prevent the progression of stress reactions, and bridge affected individuals to more formal treatment when that is required</w:t>
            </w:r>
          </w:p>
          <w:p w14:paraId="52A7EE28" w14:textId="77777777" w:rsidR="00C9698B" w:rsidRDefault="00C9698B" w:rsidP="00C9698B">
            <w:pPr>
              <w:rPr>
                <w:sz w:val="18"/>
                <w:szCs w:val="18"/>
              </w:rPr>
            </w:pPr>
          </w:p>
          <w:p w14:paraId="0F6866E0" w14:textId="77777777" w:rsidR="00C9698B" w:rsidRDefault="00C9698B" w:rsidP="00C9698B">
            <w:pPr>
              <w:rPr>
                <w:sz w:val="18"/>
                <w:szCs w:val="18"/>
              </w:rPr>
            </w:pPr>
            <w:r>
              <w:rPr>
                <w:sz w:val="18"/>
                <w:szCs w:val="18"/>
              </w:rPr>
              <w:t>Taking Care of Our Own addresses burnout syndrome and other mental health concerns in attending and resident physicians</w:t>
            </w:r>
          </w:p>
          <w:p w14:paraId="149C91D6" w14:textId="20687AB6" w:rsidR="00C9698B" w:rsidRPr="00F20AC5" w:rsidRDefault="00C9698B" w:rsidP="00C9698B">
            <w:pPr>
              <w:pStyle w:val="NormalWeb"/>
              <w:spacing w:line="276" w:lineRule="auto"/>
              <w:rPr>
                <w:rFonts w:ascii="Arial" w:eastAsiaTheme="minorHAnsi" w:hAnsi="Arial" w:cs="Arial"/>
                <w:sz w:val="18"/>
                <w:szCs w:val="18"/>
                <w:lang w:val="en"/>
              </w:rPr>
            </w:pPr>
            <w:r>
              <w:rPr>
                <w:rFonts w:ascii="Arial" w:hAnsi="Arial" w:cs="Arial"/>
                <w:sz w:val="18"/>
                <w:szCs w:val="18"/>
              </w:rPr>
              <w:t>Peer Support Program that offers one on one support from trained colleagues after adverse patient events including physical and verbal assaults from patients and visitors</w:t>
            </w:r>
          </w:p>
        </w:tc>
        <w:tc>
          <w:tcPr>
            <w:tcW w:w="3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386DC2" w14:textId="77777777" w:rsidR="00C9698B" w:rsidRDefault="007A42CA" w:rsidP="001E0AEC">
            <w:pPr>
              <w:pStyle w:val="NormalWeb"/>
              <w:spacing w:after="0" w:afterAutospacing="0"/>
              <w:rPr>
                <w:sz w:val="22"/>
                <w:szCs w:val="22"/>
              </w:rPr>
            </w:pPr>
            <w:hyperlink r:id="rId16" w:history="1">
              <w:r w:rsidR="00C9698B">
                <w:rPr>
                  <w:rStyle w:val="Hyperlink"/>
                  <w:rFonts w:ascii="Arial" w:hAnsi="Arial" w:cs="Arial"/>
                  <w:sz w:val="18"/>
                  <w:szCs w:val="18"/>
                  <w:lang w:val="en"/>
                </w:rPr>
                <w:t>https://www.unchealthcare.org/wellbeing/toolkit/toolkit-overview/mental-healthemotional-support-resources-for-co-workers-and-prov/</w:t>
              </w:r>
            </w:hyperlink>
          </w:p>
          <w:p w14:paraId="55937BA8" w14:textId="06D79CEC" w:rsidR="00C9698B" w:rsidRPr="00F20AC5" w:rsidRDefault="007A42CA" w:rsidP="001E0AEC">
            <w:pPr>
              <w:pStyle w:val="NormalWeb"/>
              <w:spacing w:after="0" w:afterAutospacing="0"/>
              <w:rPr>
                <w:rFonts w:ascii="Arial" w:eastAsiaTheme="minorHAnsi" w:hAnsi="Arial" w:cs="Arial"/>
                <w:color w:val="0000FF"/>
                <w:sz w:val="18"/>
                <w:szCs w:val="18"/>
                <w:u w:val="single"/>
                <w:lang w:val="en"/>
              </w:rPr>
            </w:pPr>
            <w:hyperlink r:id="rId17" w:history="1">
              <w:r w:rsidR="00C9698B">
                <w:rPr>
                  <w:rStyle w:val="Hyperlink"/>
                  <w:rFonts w:ascii="Arial" w:hAnsi="Arial" w:cs="Arial"/>
                  <w:sz w:val="18"/>
                  <w:szCs w:val="18"/>
                  <w:lang w:val="en"/>
                </w:rPr>
                <w:t>https://www.med.unc.edu/psych/wellness-initiatives/peer-support-program/</w:t>
              </w:r>
            </w:hyperlink>
          </w:p>
        </w:tc>
      </w:tr>
      <w:bookmarkEnd w:id="3"/>
      <w:tr w:rsidR="00267436" w14:paraId="35FA7C0B" w14:textId="77777777" w:rsidTr="00E031F3">
        <w:trPr>
          <w:trHeight w:val="344"/>
        </w:trPr>
        <w:tc>
          <w:tcPr>
            <w:tcW w:w="2563"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910F0E" w14:textId="013EE51D" w:rsidR="00267436" w:rsidRPr="00B164A5" w:rsidRDefault="00267436" w:rsidP="00267436">
            <w:pPr>
              <w:pStyle w:val="NormalWeb"/>
              <w:rPr>
                <w:rFonts w:ascii="Arial" w:hAnsi="Arial" w:cs="Arial"/>
                <w:color w:val="002060"/>
                <w:sz w:val="18"/>
                <w:szCs w:val="18"/>
              </w:rPr>
            </w:pPr>
            <w:r w:rsidRPr="00B164A5">
              <w:rPr>
                <w:rFonts w:ascii="Arial" w:hAnsi="Arial" w:cs="Arial"/>
                <w:color w:val="002060"/>
                <w:sz w:val="18"/>
                <w:szCs w:val="18"/>
              </w:rPr>
              <w:t>ISMP</w:t>
            </w:r>
          </w:p>
        </w:tc>
        <w:tc>
          <w:tcPr>
            <w:tcW w:w="16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DFB8014" w14:textId="6AF87C1F" w:rsidR="00267436" w:rsidRPr="00B164A5" w:rsidRDefault="00CF2AB3" w:rsidP="00E031F3">
            <w:pPr>
              <w:pStyle w:val="NormalWeb"/>
              <w:jc w:val="center"/>
              <w:rPr>
                <w:rFonts w:ascii="Arial" w:hAnsi="Arial" w:cs="Arial"/>
                <w:sz w:val="18"/>
                <w:szCs w:val="18"/>
              </w:rPr>
            </w:pPr>
            <w:r w:rsidRPr="00B164A5">
              <w:rPr>
                <w:rFonts w:ascii="Arial" w:hAnsi="Arial" w:cs="Arial"/>
                <w:sz w:val="18"/>
                <w:szCs w:val="18"/>
              </w:rPr>
              <w:t>Since 1975</w:t>
            </w:r>
          </w:p>
        </w:tc>
        <w:tc>
          <w:tcPr>
            <w:tcW w:w="30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6D39A2" w14:textId="77AAE0B8" w:rsidR="00267436" w:rsidRPr="00B164A5" w:rsidRDefault="00CF2AB3" w:rsidP="00267436">
            <w:pPr>
              <w:pStyle w:val="NormalWeb"/>
              <w:rPr>
                <w:rFonts w:ascii="Arial" w:hAnsi="Arial" w:cs="Arial"/>
                <w:sz w:val="18"/>
                <w:szCs w:val="18"/>
              </w:rPr>
            </w:pPr>
            <w:r w:rsidRPr="00B164A5">
              <w:rPr>
                <w:rFonts w:ascii="Arial" w:hAnsi="Arial" w:cs="Arial"/>
                <w:sz w:val="18"/>
                <w:szCs w:val="18"/>
              </w:rPr>
              <w:t xml:space="preserve">Educational/Professional resource </w:t>
            </w: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D48E8CB" w14:textId="2767B1E4" w:rsidR="00267436" w:rsidRPr="00B164A5" w:rsidRDefault="00CF2AB3" w:rsidP="00CF2AB3">
            <w:pPr>
              <w:pStyle w:val="NormalWeb"/>
              <w:rPr>
                <w:rFonts w:ascii="Arial" w:hAnsi="Arial" w:cs="Arial"/>
                <w:sz w:val="18"/>
                <w:szCs w:val="18"/>
              </w:rPr>
            </w:pPr>
            <w:r w:rsidRPr="00B164A5">
              <w:rPr>
                <w:rFonts w:ascii="Arial" w:hAnsi="Arial" w:cs="Arial"/>
                <w:sz w:val="18"/>
                <w:szCs w:val="18"/>
              </w:rPr>
              <w:t xml:space="preserve">ISMP offers various tools and resources on their site.  </w:t>
            </w:r>
          </w:p>
        </w:tc>
        <w:tc>
          <w:tcPr>
            <w:tcW w:w="31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17B7FE" w14:textId="32ADD7A3" w:rsidR="00267436" w:rsidRPr="00B164A5" w:rsidRDefault="00267436" w:rsidP="00267436">
            <w:pPr>
              <w:pStyle w:val="NormalWeb"/>
              <w:rPr>
                <w:rFonts w:ascii="Arial" w:hAnsi="Arial" w:cs="Arial"/>
                <w:sz w:val="18"/>
                <w:szCs w:val="18"/>
              </w:rPr>
            </w:pPr>
            <w:r w:rsidRPr="00B164A5">
              <w:rPr>
                <w:rFonts w:ascii="Arial" w:hAnsi="Arial" w:cs="Arial"/>
                <w:sz w:val="18"/>
                <w:szCs w:val="18"/>
              </w:rPr>
              <w:t> </w:t>
            </w:r>
            <w:r w:rsidR="00CF2AB3" w:rsidRPr="00B164A5">
              <w:rPr>
                <w:rFonts w:ascii="Arial" w:hAnsi="Arial" w:cs="Arial"/>
                <w:sz w:val="18"/>
                <w:szCs w:val="18"/>
              </w:rPr>
              <w:t>https://www.ismp.org/</w:t>
            </w:r>
          </w:p>
        </w:tc>
      </w:tr>
      <w:bookmarkEnd w:id="4"/>
    </w:tbl>
    <w:p w14:paraId="4F89F33D" w14:textId="77777777" w:rsidR="00431861" w:rsidRDefault="00431861" w:rsidP="00F82669">
      <w:pPr>
        <w:rPr>
          <w:highlight w:val="yellow"/>
        </w:rPr>
      </w:pPr>
    </w:p>
    <w:p w14:paraId="7FC25277" w14:textId="77777777" w:rsidR="00461918" w:rsidRDefault="00461918" w:rsidP="003D0ED2"/>
    <w:p w14:paraId="160E3AE6" w14:textId="77777777" w:rsidR="00461918" w:rsidRDefault="00461918" w:rsidP="003D0ED2"/>
    <w:p w14:paraId="137C0E7D" w14:textId="77777777" w:rsidR="00461918" w:rsidRDefault="00461918" w:rsidP="003D0ED2"/>
    <w:p w14:paraId="43AA34CA" w14:textId="591A18F3" w:rsidR="00A177BA" w:rsidRDefault="00A177BA" w:rsidP="003D0ED2">
      <w:pPr>
        <w:rPr>
          <w:vertAlign w:val="superscript"/>
        </w:rPr>
      </w:pPr>
      <w:r>
        <w:t>Figure 1.  Six Key Components in Initiating a Second Victim Program</w:t>
      </w:r>
      <w:r w:rsidR="00DB57CC">
        <w:rPr>
          <w:vertAlign w:val="superscript"/>
        </w:rPr>
        <w:t>29</w:t>
      </w:r>
    </w:p>
    <w:p w14:paraId="5FC847D9" w14:textId="21793CEE" w:rsidR="00A230E0" w:rsidRDefault="00A230E0" w:rsidP="003D0ED2">
      <w:pPr>
        <w:rPr>
          <w:vertAlign w:val="superscript"/>
        </w:rPr>
      </w:pPr>
    </w:p>
    <w:p w14:paraId="2A44B84E" w14:textId="5A954FB5" w:rsidR="0044750E" w:rsidRDefault="004B3D29" w:rsidP="003D0ED2">
      <w:r>
        <w:rPr>
          <w:noProof/>
          <w:sz w:val="24"/>
          <w:szCs w:val="24"/>
          <w:lang w:val="en-US"/>
        </w:rPr>
        <w:drawing>
          <wp:inline distT="0" distB="0" distL="0" distR="0" wp14:anchorId="2D1FB476" wp14:editId="345AE750">
            <wp:extent cx="8429625" cy="47815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473FF76" w14:textId="39BE8ED2" w:rsidR="00FC5781" w:rsidRDefault="00FC5781" w:rsidP="003D0ED2"/>
    <w:p w14:paraId="5DFF2932" w14:textId="2C1B290E" w:rsidR="008F5F6D" w:rsidRPr="00DC055D" w:rsidRDefault="00D600F1">
      <w:r w:rsidRPr="00DC055D">
        <w:t>References:</w:t>
      </w:r>
    </w:p>
    <w:p w14:paraId="04342545" w14:textId="7F56B4DE" w:rsidR="00BD7F83" w:rsidRPr="00DC055D" w:rsidRDefault="00BD7F83" w:rsidP="00BD7F83">
      <w:pPr>
        <w:numPr>
          <w:ilvl w:val="0"/>
          <w:numId w:val="16"/>
        </w:numPr>
      </w:pPr>
      <w:r w:rsidRPr="00DC055D">
        <w:t xml:space="preserve">Smetzer JL, Cohen MR. Lesson from the Denver Medication Error/Criminal Negligence Case: Look Beyond Blaming Individuals. </w:t>
      </w:r>
      <w:r w:rsidR="00800949" w:rsidRPr="00DC055D">
        <w:rPr>
          <w:i/>
        </w:rPr>
        <w:t>Hospital</w:t>
      </w:r>
      <w:r w:rsidRPr="00DC055D">
        <w:rPr>
          <w:i/>
        </w:rPr>
        <w:t xml:space="preserve"> Pharmacy </w:t>
      </w:r>
      <w:r w:rsidR="0088177D" w:rsidRPr="00DC055D">
        <w:t>1998;33(6):640-657.</w:t>
      </w:r>
    </w:p>
    <w:p w14:paraId="1ADCFCBF" w14:textId="6DED32E6" w:rsidR="00DC0E7E" w:rsidRPr="00DC055D" w:rsidRDefault="00DC0E7E" w:rsidP="00DC0E7E">
      <w:pPr>
        <w:numPr>
          <w:ilvl w:val="0"/>
          <w:numId w:val="16"/>
        </w:numPr>
      </w:pPr>
      <w:r w:rsidRPr="00DC055D">
        <w:t xml:space="preserve">Tumelty ME.  The Second Victim: A Contested Term? </w:t>
      </w:r>
      <w:r w:rsidRPr="00DC055D">
        <w:rPr>
          <w:i/>
        </w:rPr>
        <w:t>J Patient Saf</w:t>
      </w:r>
      <w:r w:rsidR="0088177D" w:rsidRPr="00DC055D">
        <w:t xml:space="preserve">. 2018;00:1-6. </w:t>
      </w:r>
    </w:p>
    <w:p w14:paraId="5E34062E" w14:textId="5D59511D" w:rsidR="00B93D22" w:rsidRPr="00DC055D" w:rsidRDefault="00B93D22" w:rsidP="00B93D22">
      <w:pPr>
        <w:numPr>
          <w:ilvl w:val="0"/>
          <w:numId w:val="16"/>
        </w:numPr>
      </w:pPr>
      <w:r w:rsidRPr="00DC055D">
        <w:t xml:space="preserve">Mira JJ, Carrillo I, Guilabert M, et al. The Second Victim Phenomenon After a Clinical Error: The Design and Evaluation of a Website to Reduce Caregivers' Emotional Responses After a Clinical Error. </w:t>
      </w:r>
      <w:r w:rsidRPr="00DC055D">
        <w:rPr>
          <w:i/>
        </w:rPr>
        <w:t>J Med Internet Res</w:t>
      </w:r>
      <w:r w:rsidRPr="00DC055D">
        <w:t xml:space="preserve">. 2017;19(6):e203. Published 2017 </w:t>
      </w:r>
      <w:r w:rsidR="0088177D" w:rsidRPr="00DC055D">
        <w:t>Jun 8. doi:10.2196/jmir.7840</w:t>
      </w:r>
    </w:p>
    <w:p w14:paraId="724F5022" w14:textId="0B78FA50" w:rsidR="00B87CEA" w:rsidRPr="00DC055D" w:rsidRDefault="00B87CEA" w:rsidP="00B87CEA">
      <w:pPr>
        <w:numPr>
          <w:ilvl w:val="0"/>
          <w:numId w:val="16"/>
        </w:numPr>
      </w:pPr>
      <w:r w:rsidRPr="00DC055D">
        <w:t xml:space="preserve">Krzan KD, Merandi J, Morvay S, Mirtallo J.  Implementation of a “second victim” program in a pediatric hospital. </w:t>
      </w:r>
      <w:r w:rsidRPr="00DC055D">
        <w:rPr>
          <w:i/>
        </w:rPr>
        <w:t>Am J Health-Syst Pharm.</w:t>
      </w:r>
      <w:r w:rsidR="0088177D" w:rsidRPr="00DC055D">
        <w:t xml:space="preserve"> 2015;72:563-7. </w:t>
      </w:r>
    </w:p>
    <w:p w14:paraId="67489045" w14:textId="3B2792CC" w:rsidR="00DB6EBC" w:rsidRPr="00DC055D" w:rsidRDefault="00DB6EBC" w:rsidP="00DB6EBC">
      <w:pPr>
        <w:numPr>
          <w:ilvl w:val="0"/>
          <w:numId w:val="16"/>
        </w:numPr>
      </w:pPr>
      <w:r w:rsidRPr="00DC055D">
        <w:t xml:space="preserve">Scott SC, Hirschinger LE, Cox KR, et al. Caring for our own: deploying a system-wide second victim rapid response team. </w:t>
      </w:r>
      <w:r w:rsidRPr="00DC055D">
        <w:rPr>
          <w:i/>
        </w:rPr>
        <w:t>Jt Comm J Qual Patient Saf</w:t>
      </w:r>
      <w:r w:rsidRPr="00DC055D">
        <w:t xml:space="preserve">. 2010;36:233-40. </w:t>
      </w:r>
    </w:p>
    <w:p w14:paraId="2B052BCE" w14:textId="78377DBD" w:rsidR="00E16C9D" w:rsidRPr="00DC055D" w:rsidRDefault="00E16C9D" w:rsidP="00E16C9D">
      <w:pPr>
        <w:numPr>
          <w:ilvl w:val="0"/>
          <w:numId w:val="16"/>
        </w:numPr>
      </w:pPr>
      <w:r w:rsidRPr="00DC055D">
        <w:t xml:space="preserve">Wu A. Medical error: the second victim.  The doctor who makes mistakes needs help too.  </w:t>
      </w:r>
      <w:r w:rsidRPr="00DC055D">
        <w:rPr>
          <w:i/>
        </w:rPr>
        <w:t>BMJ</w:t>
      </w:r>
      <w:r w:rsidRPr="00DC055D">
        <w:t xml:space="preserve">. 2000;320:726-7. </w:t>
      </w:r>
    </w:p>
    <w:p w14:paraId="2902DA53" w14:textId="448DB2A1" w:rsidR="00BD7F83" w:rsidRPr="00DC055D" w:rsidRDefault="00E4550A" w:rsidP="00E4550A">
      <w:pPr>
        <w:pStyle w:val="ListParagraph"/>
        <w:numPr>
          <w:ilvl w:val="0"/>
          <w:numId w:val="16"/>
        </w:numPr>
      </w:pPr>
      <w:r w:rsidRPr="00DC055D">
        <w:t xml:space="preserve">Care for the Caregiver Program Implementation Guide. Content last reviewed February 2017. Agency for Healthcare Research and Quality, Rockville, MD. </w:t>
      </w:r>
      <w:hyperlink r:id="rId23" w:history="1">
        <w:r w:rsidR="005F4634" w:rsidRPr="00DC055D">
          <w:rPr>
            <w:rStyle w:val="Hyperlink"/>
          </w:rPr>
          <w:t>http://www.ahrq.gov/professionals/quality-patient-safety/patient-safety-resources/resources/candor/module6-guide.html</w:t>
        </w:r>
      </w:hyperlink>
    </w:p>
    <w:p w14:paraId="343D65F2" w14:textId="63BFC144" w:rsidR="005F4634" w:rsidRPr="00DC055D" w:rsidRDefault="005F4634" w:rsidP="005F4634">
      <w:pPr>
        <w:pStyle w:val="ListParagraph"/>
        <w:numPr>
          <w:ilvl w:val="0"/>
          <w:numId w:val="16"/>
        </w:numPr>
      </w:pPr>
      <w:r w:rsidRPr="00DC055D">
        <w:t xml:space="preserve">Brennan TA, Leape LL, Laird NM, Hebert L, Localio AR, Lawthers AG, et al. Incidence of adverse events and negligence in hospitalized patients: results of the Harvard Medical Practice Study I. </w:t>
      </w:r>
      <w:r w:rsidRPr="00DC055D">
        <w:rPr>
          <w:i/>
        </w:rPr>
        <w:t>N Engl J Med</w:t>
      </w:r>
      <w:r w:rsidRPr="00DC055D">
        <w:t xml:space="preserve"> 1991;324:370-6.</w:t>
      </w:r>
    </w:p>
    <w:p w14:paraId="7645F41D" w14:textId="2501B4AF" w:rsidR="005F4634" w:rsidRPr="00DC055D" w:rsidRDefault="005F4634" w:rsidP="005F4634">
      <w:pPr>
        <w:pStyle w:val="ListParagraph"/>
        <w:numPr>
          <w:ilvl w:val="0"/>
          <w:numId w:val="16"/>
        </w:numPr>
      </w:pPr>
      <w:r w:rsidRPr="00DC055D">
        <w:t>Kohn LT, Corrigan JM, Donaldson MS. To Err Is Human: Building a Safer Health System. Washington, DC: National Academy Press. 1999. # 0-309-06837-1.</w:t>
      </w:r>
    </w:p>
    <w:p w14:paraId="10B0BAC2" w14:textId="6472D4E2" w:rsidR="005F4634" w:rsidRPr="00DC055D" w:rsidRDefault="005F4634" w:rsidP="005F4634">
      <w:pPr>
        <w:pStyle w:val="ListParagraph"/>
        <w:numPr>
          <w:ilvl w:val="0"/>
          <w:numId w:val="16"/>
        </w:numPr>
      </w:pPr>
      <w:r w:rsidRPr="00DC055D">
        <w:t>Joint Commission on Accreditation of Healthcare Organizations (JCAHO). Glossary of terms. Oakbrook Terrace, Calif: Joint Commission on Accreditation of Healthcare Organizations. 2001.</w:t>
      </w:r>
    </w:p>
    <w:p w14:paraId="05570CD6" w14:textId="05CA9145" w:rsidR="005F4634" w:rsidRPr="00DC055D" w:rsidRDefault="005F4634" w:rsidP="005F4634">
      <w:pPr>
        <w:pStyle w:val="ListParagraph"/>
        <w:numPr>
          <w:ilvl w:val="0"/>
          <w:numId w:val="16"/>
        </w:numPr>
      </w:pPr>
      <w:r w:rsidRPr="00DC055D">
        <w:t>National Health Service (NHS). Department of Health: An organization with a memory. Report of an expert group on learning from adverse events in the NHS. London: The Stationery Office. 2000.</w:t>
      </w:r>
    </w:p>
    <w:p w14:paraId="77941C92" w14:textId="77777777" w:rsidR="005F4634" w:rsidRPr="00DC055D" w:rsidRDefault="005F4634" w:rsidP="005F4634">
      <w:pPr>
        <w:pStyle w:val="ListParagraph"/>
        <w:numPr>
          <w:ilvl w:val="0"/>
          <w:numId w:val="16"/>
        </w:numPr>
      </w:pPr>
      <w:r w:rsidRPr="00DC055D">
        <w:t>Quality Interagency Coordination (QuIC) Task Force. Doing what counts for patient safety: Federal actions to reduce medical errors and their impact. Washington, DC: Quality Interagency Coordination Task Force. 2000. # 1-58763-000-1</w:t>
      </w:r>
    </w:p>
    <w:p w14:paraId="1A5B8F1B" w14:textId="03DFAF81" w:rsidR="00D563F4" w:rsidRPr="00DC055D" w:rsidRDefault="00D563F4" w:rsidP="00D563F4">
      <w:pPr>
        <w:numPr>
          <w:ilvl w:val="0"/>
          <w:numId w:val="16"/>
        </w:numPr>
      </w:pPr>
      <w:r w:rsidRPr="00DC055D">
        <w:t xml:space="preserve">Smetzer J, Baker C, Byrne FD, Cohen MR.  Shaping Systems for Better Behavioral Choices: Lessons Learned from a Fatal Medication Error. </w:t>
      </w:r>
      <w:r w:rsidRPr="00DC055D">
        <w:rPr>
          <w:i/>
        </w:rPr>
        <w:t xml:space="preserve">Jt Comm J Qual Patient Saf. </w:t>
      </w:r>
      <w:r w:rsidRPr="00DC055D">
        <w:t xml:space="preserve">2010;36(4):152-163.  </w:t>
      </w:r>
    </w:p>
    <w:p w14:paraId="0B810BD3" w14:textId="23D4B13E" w:rsidR="00417569" w:rsidRPr="00DC055D" w:rsidRDefault="00417569" w:rsidP="00417569">
      <w:pPr>
        <w:numPr>
          <w:ilvl w:val="0"/>
          <w:numId w:val="16"/>
        </w:numPr>
      </w:pPr>
      <w:r w:rsidRPr="00DC055D">
        <w:t xml:space="preserve">Grissinger M. Too Many Abandon the “Second Victims” of Medical Errors.  </w:t>
      </w:r>
      <w:r w:rsidRPr="00DC055D">
        <w:rPr>
          <w:i/>
        </w:rPr>
        <w:t>P&amp;T.</w:t>
      </w:r>
      <w:r w:rsidRPr="00DC055D">
        <w:t xml:space="preserve"> 2014; 39(9):591-592. </w:t>
      </w:r>
    </w:p>
    <w:p w14:paraId="1DD4BAD6" w14:textId="35D4070C" w:rsidR="00C707C8" w:rsidRPr="00DC055D" w:rsidRDefault="00C707C8" w:rsidP="00C707C8">
      <w:pPr>
        <w:numPr>
          <w:ilvl w:val="0"/>
          <w:numId w:val="16"/>
        </w:numPr>
      </w:pPr>
      <w:r w:rsidRPr="00DC055D">
        <w:t xml:space="preserve">Waterman AD, Garbutt J, Hazel E, et al: The emotional impact of medical errors on practicing physicians in the United States and Canada. </w:t>
      </w:r>
      <w:r w:rsidRPr="00DC055D">
        <w:rPr>
          <w:i/>
        </w:rPr>
        <w:t>Jt Comm J Qual Patient Saf</w:t>
      </w:r>
      <w:r w:rsidRPr="00DC055D">
        <w:t xml:space="preserve">. 2007;33:467-476. </w:t>
      </w:r>
    </w:p>
    <w:p w14:paraId="46C253BC" w14:textId="61E2F589" w:rsidR="009D3DDD" w:rsidRPr="00DC055D" w:rsidRDefault="009D3DDD" w:rsidP="009D3DDD">
      <w:pPr>
        <w:numPr>
          <w:ilvl w:val="0"/>
          <w:numId w:val="16"/>
        </w:numPr>
      </w:pPr>
      <w:r w:rsidRPr="00DC055D">
        <w:rPr>
          <w:color w:val="333333"/>
        </w:rPr>
        <w:t>Scott SD, Hirschinger LE, Cox KR,</w:t>
      </w:r>
      <w:r w:rsidRPr="00DC055D">
        <w:rPr>
          <w:i/>
          <w:color w:val="333333"/>
        </w:rPr>
        <w:t xml:space="preserve"> </w:t>
      </w:r>
      <w:r w:rsidRPr="00DC055D">
        <w:rPr>
          <w:color w:val="333333"/>
        </w:rPr>
        <w:t xml:space="preserve">et al. The natural history of recovery for the healthcare provider “second victim” after adverse patient events </w:t>
      </w:r>
      <w:r w:rsidRPr="00DC055D">
        <w:rPr>
          <w:i/>
          <w:color w:val="333333"/>
        </w:rPr>
        <w:t xml:space="preserve">BMJ Quality &amp; Safety. </w:t>
      </w:r>
      <w:r w:rsidRPr="00DC055D">
        <w:rPr>
          <w:color w:val="333333"/>
        </w:rPr>
        <w:t xml:space="preserve">2009;18:325-330. </w:t>
      </w:r>
    </w:p>
    <w:p w14:paraId="36069D12" w14:textId="43503B71" w:rsidR="005D12B6" w:rsidRPr="00DC055D" w:rsidRDefault="005D12B6" w:rsidP="005D12B6">
      <w:pPr>
        <w:numPr>
          <w:ilvl w:val="0"/>
          <w:numId w:val="16"/>
        </w:numPr>
      </w:pPr>
      <w:r w:rsidRPr="00DC055D">
        <w:t xml:space="preserve">Joesten L, Cipparrone N, Okuno-Jones S, DuBose ER. Assessing the perceived level of institutional support for the second victim after a patient safety event. </w:t>
      </w:r>
      <w:r w:rsidRPr="00DC055D">
        <w:rPr>
          <w:i/>
        </w:rPr>
        <w:t>J Patient Saf</w:t>
      </w:r>
      <w:r w:rsidRPr="00DC055D">
        <w:t xml:space="preserve">. 2015 Jun;11(2):73-8. </w:t>
      </w:r>
    </w:p>
    <w:p w14:paraId="5C2DB25C" w14:textId="21EC11E0" w:rsidR="005703B9" w:rsidRPr="00DC055D" w:rsidRDefault="005703B9" w:rsidP="005703B9">
      <w:pPr>
        <w:numPr>
          <w:ilvl w:val="0"/>
          <w:numId w:val="16"/>
        </w:numPr>
      </w:pPr>
      <w:r w:rsidRPr="00DC055D">
        <w:t xml:space="preserve">Mira JJ, Lorenzo S, Carrillo I, et al. Interventions in health </w:t>
      </w:r>
      <w:r w:rsidR="00800949" w:rsidRPr="00DC055D">
        <w:t>organizations</w:t>
      </w:r>
      <w:r w:rsidRPr="00DC055D">
        <w:t xml:space="preserve"> to reduce the impact of adverse events in second and third victims.  </w:t>
      </w:r>
      <w:r w:rsidRPr="00DC055D">
        <w:rPr>
          <w:i/>
        </w:rPr>
        <w:t>BMC Health Services Research</w:t>
      </w:r>
      <w:r w:rsidR="0088177D" w:rsidRPr="00DC055D">
        <w:t>.  2015;15:34.</w:t>
      </w:r>
    </w:p>
    <w:p w14:paraId="67F04860" w14:textId="4E5C589D" w:rsidR="00E83E79" w:rsidRPr="00DC055D" w:rsidRDefault="00E83E79" w:rsidP="00E83E79">
      <w:pPr>
        <w:numPr>
          <w:ilvl w:val="0"/>
          <w:numId w:val="16"/>
        </w:numPr>
      </w:pPr>
      <w:r w:rsidRPr="00DC055D">
        <w:t xml:space="preserve">Edrees HH, Morlock L, Wu AW. Do hospitals support second victims? Collective insights from patient safety leaders in Maryland. </w:t>
      </w:r>
      <w:r w:rsidRPr="00DC055D">
        <w:rPr>
          <w:i/>
        </w:rPr>
        <w:t>Jt Comm J Qual Patient Saf</w:t>
      </w:r>
      <w:r w:rsidR="0088177D" w:rsidRPr="00DC055D">
        <w:t>. 2017 Sep;43(9):471-483.</w:t>
      </w:r>
    </w:p>
    <w:p w14:paraId="2F066889" w14:textId="7E1D1EF6" w:rsidR="00FD4D0F" w:rsidRPr="00DC055D" w:rsidRDefault="00FD4D0F" w:rsidP="00FD4D0F">
      <w:pPr>
        <w:numPr>
          <w:ilvl w:val="0"/>
          <w:numId w:val="16"/>
        </w:numPr>
      </w:pPr>
      <w:r w:rsidRPr="00DC055D">
        <w:t xml:space="preserve">Winning AM, Merandi JM, Lewe D, et al.  The emotional impact of errors or adverse events on healthcare providers in the NICU: The protective role of coworker support. </w:t>
      </w:r>
      <w:r w:rsidRPr="00DC055D">
        <w:rPr>
          <w:i/>
        </w:rPr>
        <w:t>J Adv Nurs</w:t>
      </w:r>
      <w:r w:rsidR="0088177D" w:rsidRPr="00DC055D">
        <w:t>. 2017;00:1-9.</w:t>
      </w:r>
    </w:p>
    <w:p w14:paraId="71FE1B59" w14:textId="6D793D7E" w:rsidR="00607644" w:rsidRPr="00DC055D" w:rsidRDefault="00607644" w:rsidP="00607644">
      <w:pPr>
        <w:numPr>
          <w:ilvl w:val="0"/>
          <w:numId w:val="16"/>
        </w:numPr>
      </w:pPr>
      <w:r w:rsidRPr="00DC055D">
        <w:t xml:space="preserve">Quillivan R, Burlison J, Browne E, et al  Patient Safety Culture and the Second Victim Phenomenon: Connecting Culture to Staff Distress in Nurses. </w:t>
      </w:r>
      <w:r w:rsidRPr="00DC055D">
        <w:rPr>
          <w:i/>
        </w:rPr>
        <w:t>Jt Comm J Qual Patient Saf</w:t>
      </w:r>
      <w:r w:rsidR="0088177D" w:rsidRPr="00DC055D">
        <w:t>. 2016 August;42(8):377–386.</w:t>
      </w:r>
    </w:p>
    <w:p w14:paraId="42A64CDE" w14:textId="0845DC80" w:rsidR="00174F41" w:rsidRPr="00DC055D" w:rsidRDefault="00174F41" w:rsidP="00174F41">
      <w:pPr>
        <w:numPr>
          <w:ilvl w:val="0"/>
          <w:numId w:val="16"/>
        </w:numPr>
      </w:pPr>
      <w:r w:rsidRPr="00DC055D">
        <w:t xml:space="preserve">Han K, Bohnen JD, Peponis T, et al. The surgeon as the second victim? Results of the Boston Intraoperative Adverse Events Surgeons’ Attitude (BISA) Study. </w:t>
      </w:r>
      <w:r w:rsidRPr="00DC055D">
        <w:rPr>
          <w:i/>
        </w:rPr>
        <w:t>J Am Coll Surg</w:t>
      </w:r>
      <w:r w:rsidR="0088177D" w:rsidRPr="00DC055D">
        <w:t>. 2017;224:1048–1056.</w:t>
      </w:r>
    </w:p>
    <w:p w14:paraId="7093807A" w14:textId="5D97ACA3" w:rsidR="00C4710A" w:rsidRPr="00DC055D" w:rsidRDefault="00C4710A" w:rsidP="00C4710A">
      <w:pPr>
        <w:numPr>
          <w:ilvl w:val="0"/>
          <w:numId w:val="16"/>
        </w:numPr>
      </w:pPr>
      <w:r w:rsidRPr="00DC055D">
        <w:t xml:space="preserve">Srinivasa S, Gurney J, Koea J.  Potential Consequences of Patient Complications for Surgeon Well-being: A Systematic Review.   </w:t>
      </w:r>
      <w:r w:rsidRPr="00DC055D">
        <w:rPr>
          <w:i/>
        </w:rPr>
        <w:t>JAMA Surg.</w:t>
      </w:r>
      <w:r w:rsidRPr="00DC055D">
        <w:t xml:space="preserve"> Published online March 27, 2019. doi:10.1001/jamasurg.2018.5640</w:t>
      </w:r>
    </w:p>
    <w:p w14:paraId="67EEB774" w14:textId="2B1EE714" w:rsidR="001A3C07" w:rsidRPr="00DC055D" w:rsidRDefault="001A3C07" w:rsidP="001A3C07">
      <w:pPr>
        <w:numPr>
          <w:ilvl w:val="0"/>
          <w:numId w:val="16"/>
        </w:numPr>
      </w:pPr>
      <w:r w:rsidRPr="00DC055D">
        <w:t xml:space="preserve">Chan ST, Khong PCB, Wang W. Psychological responses, coping, and supporting needs of healthcare professionals as second victims. </w:t>
      </w:r>
      <w:r w:rsidRPr="00DC055D">
        <w:rPr>
          <w:i/>
        </w:rPr>
        <w:t>International Nursing Review.</w:t>
      </w:r>
      <w:r w:rsidR="0088177D" w:rsidRPr="00DC055D">
        <w:t xml:space="preserve"> 2017;64:242–262.</w:t>
      </w:r>
    </w:p>
    <w:p w14:paraId="499030F9" w14:textId="3295964B" w:rsidR="009F2D1C" w:rsidRPr="00DC055D" w:rsidRDefault="00223A19" w:rsidP="009F2D1C">
      <w:pPr>
        <w:numPr>
          <w:ilvl w:val="0"/>
          <w:numId w:val="16"/>
        </w:numPr>
      </w:pPr>
      <w:r w:rsidRPr="00DC055D">
        <w:t xml:space="preserve">James JT. A New, Evidence-based Estimate of Patient Harms Associated with Hospital Care. </w:t>
      </w:r>
      <w:r w:rsidRPr="00DC055D">
        <w:rPr>
          <w:i/>
        </w:rPr>
        <w:t>Journal of Patient Safety</w:t>
      </w:r>
      <w:r w:rsidR="0088177D" w:rsidRPr="00DC055D">
        <w:t>. 2013;9(3):122–128.</w:t>
      </w:r>
    </w:p>
    <w:p w14:paraId="261A4B76" w14:textId="145C1C3D" w:rsidR="00BD7F83" w:rsidRPr="00DC055D" w:rsidRDefault="009F2D1C" w:rsidP="009F2D1C">
      <w:pPr>
        <w:numPr>
          <w:ilvl w:val="0"/>
          <w:numId w:val="16"/>
        </w:numPr>
      </w:pPr>
      <w:r w:rsidRPr="00DC055D">
        <w:rPr>
          <w:color w:val="2A2A2A"/>
        </w:rPr>
        <w:t xml:space="preserve">Rafter N, Hickey A, et al. Adverse events in healthcare: learning from mistakes.  </w:t>
      </w:r>
      <w:r w:rsidRPr="00DC055D">
        <w:rPr>
          <w:rStyle w:val="Emphasis"/>
          <w:color w:val="2A2A2A"/>
          <w:bdr w:val="none" w:sz="0" w:space="0" w:color="auto" w:frame="1"/>
        </w:rPr>
        <w:t xml:space="preserve">QJM: An International Journal of Medicine. </w:t>
      </w:r>
      <w:r w:rsidRPr="00DC055D">
        <w:rPr>
          <w:color w:val="2A2A2A"/>
        </w:rPr>
        <w:t>2015; 108(4):273–277.</w:t>
      </w:r>
      <w:r w:rsidRPr="00DC055D">
        <w:rPr>
          <w:rStyle w:val="Hyperlink"/>
          <w:color w:val="006FB7"/>
          <w:bdr w:val="none" w:sz="0" w:space="0" w:color="auto" w:frame="1"/>
        </w:rPr>
        <w:t xml:space="preserve"> </w:t>
      </w:r>
    </w:p>
    <w:p w14:paraId="6C7ABD39" w14:textId="2CB40B5B" w:rsidR="00803903" w:rsidRPr="00DC055D" w:rsidRDefault="00803903" w:rsidP="00803903">
      <w:pPr>
        <w:numPr>
          <w:ilvl w:val="0"/>
          <w:numId w:val="16"/>
        </w:numPr>
      </w:pPr>
      <w:r w:rsidRPr="00DC055D">
        <w:rPr>
          <w:color w:val="303030"/>
          <w:highlight w:val="white"/>
        </w:rPr>
        <w:t xml:space="preserve">Wu AW, Boyle DJ, Wallace G, Mazor KM. Disclosure of adverse events in the United States and Canada: an update, and a </w:t>
      </w:r>
      <w:r w:rsidRPr="00DC055D">
        <w:rPr>
          <w:color w:val="303030"/>
        </w:rPr>
        <w:t xml:space="preserve">proposed framework for improvement. </w:t>
      </w:r>
      <w:r w:rsidRPr="00DC055D">
        <w:rPr>
          <w:i/>
          <w:color w:val="303030"/>
        </w:rPr>
        <w:t>J Public Health Res</w:t>
      </w:r>
      <w:r w:rsidRPr="00DC055D">
        <w:rPr>
          <w:color w:val="303030"/>
        </w:rPr>
        <w:t xml:space="preserve">. 2013;2(3):e32. </w:t>
      </w:r>
    </w:p>
    <w:p w14:paraId="490789BF" w14:textId="4F95EAAB" w:rsidR="00044869" w:rsidRPr="00DC055D" w:rsidRDefault="00044869" w:rsidP="00044869">
      <w:pPr>
        <w:pStyle w:val="ListParagraph"/>
        <w:numPr>
          <w:ilvl w:val="0"/>
          <w:numId w:val="16"/>
        </w:numPr>
      </w:pPr>
      <w:r w:rsidRPr="00DC055D">
        <w:t xml:space="preserve">Burlison JD, Quillivan RR, Scott SD, et al. The Effects of the Second Victim Phenomenon on Work-Related Outcomes: Connecting Self-Reported Caregiver Distress to Turnover Intentions and Absenteeism.  </w:t>
      </w:r>
      <w:r w:rsidRPr="00DC055D">
        <w:rPr>
          <w:i/>
        </w:rPr>
        <w:t>J Patient Saf</w:t>
      </w:r>
      <w:r w:rsidRPr="00DC055D">
        <w:t xml:space="preserve">.  2016; 00(00):1-6. </w:t>
      </w:r>
    </w:p>
    <w:p w14:paraId="222DEE85" w14:textId="19642313" w:rsidR="00DB57CC" w:rsidRPr="00DC055D" w:rsidRDefault="00DB57CC" w:rsidP="00DB57CC">
      <w:pPr>
        <w:numPr>
          <w:ilvl w:val="0"/>
          <w:numId w:val="16"/>
        </w:numPr>
      </w:pPr>
      <w:r w:rsidRPr="00DC055D">
        <w:t xml:space="preserve">Merandi J, Liao N, Lewe D, et al.  Deployment of a Second Victim Peer Support Program: A Replication Study. Pediatr Qual Saf.  2017;2:e031; doi. 10.1097/pq9.0000000000000031. eCollection 2017 Jul-Aug. </w:t>
      </w:r>
    </w:p>
    <w:p w14:paraId="3E62B9B2" w14:textId="77777777" w:rsidR="00803903" w:rsidRPr="009F2D1C" w:rsidRDefault="00803903" w:rsidP="005D63E8">
      <w:pPr>
        <w:ind w:left="720"/>
        <w:rPr>
          <w:sz w:val="24"/>
          <w:szCs w:val="24"/>
        </w:rPr>
      </w:pPr>
    </w:p>
    <w:p w14:paraId="40C4BDDD" w14:textId="56B4AE4F" w:rsidR="00BD7F83" w:rsidRDefault="00BD7F83">
      <w:pPr>
        <w:rPr>
          <w:sz w:val="24"/>
          <w:szCs w:val="24"/>
        </w:rPr>
      </w:pPr>
    </w:p>
    <w:p w14:paraId="6C900388" w14:textId="6BE47BC1" w:rsidR="00BD7F83" w:rsidRDefault="00BD7F83">
      <w:pPr>
        <w:rPr>
          <w:sz w:val="24"/>
          <w:szCs w:val="24"/>
        </w:rPr>
      </w:pPr>
    </w:p>
    <w:p w14:paraId="333A19D6" w14:textId="1B981EC3" w:rsidR="00D7422A" w:rsidRPr="0084433F" w:rsidRDefault="00D7422A" w:rsidP="00D7422A">
      <w:pPr>
        <w:rPr>
          <w:sz w:val="24"/>
          <w:szCs w:val="24"/>
        </w:rPr>
      </w:pPr>
    </w:p>
    <w:p w14:paraId="5FFBC1DA" w14:textId="5848C267" w:rsidR="00D7422A" w:rsidRPr="0084433F" w:rsidRDefault="00D7422A" w:rsidP="00D7422A">
      <w:pPr>
        <w:rPr>
          <w:sz w:val="24"/>
          <w:szCs w:val="24"/>
        </w:rPr>
      </w:pPr>
    </w:p>
    <w:p w14:paraId="3B640310" w14:textId="32C2AA99" w:rsidR="00D7422A" w:rsidRPr="0084433F" w:rsidRDefault="00D7422A" w:rsidP="00D7422A">
      <w:pPr>
        <w:rPr>
          <w:sz w:val="24"/>
          <w:szCs w:val="24"/>
        </w:rPr>
      </w:pPr>
    </w:p>
    <w:p w14:paraId="44452FD4" w14:textId="2D48BD2C" w:rsidR="003A693C" w:rsidRPr="0084433F" w:rsidRDefault="003A693C">
      <w:pPr>
        <w:ind w:left="720"/>
        <w:rPr>
          <w:sz w:val="24"/>
          <w:szCs w:val="24"/>
        </w:rPr>
      </w:pPr>
    </w:p>
    <w:p w14:paraId="2CA9E0CF" w14:textId="77777777" w:rsidR="00D7422A" w:rsidRPr="0084433F" w:rsidRDefault="00D7422A">
      <w:pPr>
        <w:ind w:left="720"/>
        <w:rPr>
          <w:sz w:val="24"/>
          <w:szCs w:val="24"/>
        </w:rPr>
      </w:pPr>
    </w:p>
    <w:p w14:paraId="1507E047" w14:textId="77777777" w:rsidR="00D7422A" w:rsidRPr="0084433F" w:rsidRDefault="00D7422A">
      <w:pPr>
        <w:ind w:left="720"/>
        <w:rPr>
          <w:sz w:val="24"/>
          <w:szCs w:val="24"/>
        </w:rPr>
      </w:pPr>
    </w:p>
    <w:p w14:paraId="068EDCE2" w14:textId="156CF497" w:rsidR="002652BD" w:rsidRDefault="002652BD" w:rsidP="002652BD">
      <w:pPr>
        <w:rPr>
          <w:sz w:val="24"/>
          <w:szCs w:val="24"/>
        </w:rPr>
      </w:pPr>
    </w:p>
    <w:p w14:paraId="0FF000E0" w14:textId="77777777" w:rsidR="002652BD" w:rsidRPr="0084433F" w:rsidRDefault="002652BD" w:rsidP="002652BD">
      <w:pPr>
        <w:rPr>
          <w:sz w:val="24"/>
          <w:szCs w:val="24"/>
        </w:rPr>
      </w:pPr>
    </w:p>
    <w:p w14:paraId="786AFDC6" w14:textId="3B969F9F" w:rsidR="00681744" w:rsidRPr="0084433F" w:rsidRDefault="00681744" w:rsidP="003A693C">
      <w:pPr>
        <w:ind w:left="720"/>
        <w:rPr>
          <w:sz w:val="24"/>
          <w:szCs w:val="24"/>
        </w:rPr>
      </w:pPr>
    </w:p>
    <w:sectPr w:rsidR="00681744" w:rsidRPr="0084433F" w:rsidSect="00BE0997">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3395E" w14:textId="77777777" w:rsidR="00E031F3" w:rsidRDefault="00E031F3" w:rsidP="00E031F3">
      <w:pPr>
        <w:spacing w:line="240" w:lineRule="auto"/>
      </w:pPr>
      <w:r>
        <w:separator/>
      </w:r>
    </w:p>
  </w:endnote>
  <w:endnote w:type="continuationSeparator" w:id="0">
    <w:p w14:paraId="1ED497C0" w14:textId="77777777" w:rsidR="00E031F3" w:rsidRDefault="00E031F3" w:rsidP="00E03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A7BD" w14:textId="77777777" w:rsidR="00E031F3" w:rsidRDefault="00E031F3" w:rsidP="00E031F3">
      <w:pPr>
        <w:spacing w:line="240" w:lineRule="auto"/>
      </w:pPr>
      <w:r>
        <w:separator/>
      </w:r>
    </w:p>
  </w:footnote>
  <w:footnote w:type="continuationSeparator" w:id="0">
    <w:p w14:paraId="7A032A47" w14:textId="77777777" w:rsidR="00E031F3" w:rsidRDefault="00E031F3" w:rsidP="00E031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617"/>
    <w:multiLevelType w:val="hybridMultilevel"/>
    <w:tmpl w:val="8252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CD2"/>
    <w:multiLevelType w:val="hybridMultilevel"/>
    <w:tmpl w:val="15C4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7706A"/>
    <w:multiLevelType w:val="multilevel"/>
    <w:tmpl w:val="CC080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B03C33"/>
    <w:multiLevelType w:val="multilevel"/>
    <w:tmpl w:val="5E7AE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A13A0A"/>
    <w:multiLevelType w:val="hybridMultilevel"/>
    <w:tmpl w:val="2940C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64CEB"/>
    <w:multiLevelType w:val="multilevel"/>
    <w:tmpl w:val="4A30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F622B"/>
    <w:multiLevelType w:val="multilevel"/>
    <w:tmpl w:val="8B2E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87324A"/>
    <w:multiLevelType w:val="multilevel"/>
    <w:tmpl w:val="1088A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EE6810"/>
    <w:multiLevelType w:val="hybridMultilevel"/>
    <w:tmpl w:val="38A0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A91408"/>
    <w:multiLevelType w:val="multilevel"/>
    <w:tmpl w:val="FBA8E9FE"/>
    <w:lvl w:ilvl="0">
      <w:start w:val="1"/>
      <w:numFmt w:val="decimal"/>
      <w:lvlText w:val="%1."/>
      <w:lvlJc w:val="left"/>
      <w:pPr>
        <w:ind w:left="360" w:hanging="360"/>
      </w:pPr>
      <w:rPr>
        <w:u w:val="none"/>
      </w:rPr>
    </w:lvl>
    <w:lvl w:ilvl="1">
      <w:start w:val="1"/>
      <w:numFmt w:val="lowerLetter"/>
      <w:lvlText w:val="%2."/>
      <w:lvlJc w:val="left"/>
      <w:pPr>
        <w:ind w:left="1080" w:hanging="360"/>
      </w:pPr>
      <w:rPr>
        <w:u w:val="none"/>
        <w:vertAlign w:val="baseli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DAB187F"/>
    <w:multiLevelType w:val="hybridMultilevel"/>
    <w:tmpl w:val="E672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5213F"/>
    <w:multiLevelType w:val="hybridMultilevel"/>
    <w:tmpl w:val="57A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A6E2A"/>
    <w:multiLevelType w:val="multilevel"/>
    <w:tmpl w:val="0C80C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8D253C"/>
    <w:multiLevelType w:val="multilevel"/>
    <w:tmpl w:val="630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3511A1"/>
    <w:multiLevelType w:val="multilevel"/>
    <w:tmpl w:val="EC4CD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21595C"/>
    <w:multiLevelType w:val="hybridMultilevel"/>
    <w:tmpl w:val="C33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3"/>
  </w:num>
  <w:num w:numId="5">
    <w:abstractNumId w:val="2"/>
  </w:num>
  <w:num w:numId="6">
    <w:abstractNumId w:val="13"/>
  </w:num>
  <w:num w:numId="7">
    <w:abstractNumId w:val="15"/>
  </w:num>
  <w:num w:numId="8">
    <w:abstractNumId w:val="8"/>
  </w:num>
  <w:num w:numId="9">
    <w:abstractNumId w:val="4"/>
  </w:num>
  <w:num w:numId="10">
    <w:abstractNumId w:val="1"/>
  </w:num>
  <w:num w:numId="11">
    <w:abstractNumId w:val="12"/>
  </w:num>
  <w:num w:numId="12">
    <w:abstractNumId w:val="10"/>
  </w:num>
  <w:num w:numId="13">
    <w:abstractNumId w:val="5"/>
  </w:num>
  <w:num w:numId="14">
    <w:abstractNumId w:val="0"/>
  </w:num>
  <w:num w:numId="15">
    <w:abstractNumId w:val="7"/>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6D"/>
    <w:rsid w:val="0000270B"/>
    <w:rsid w:val="00005F65"/>
    <w:rsid w:val="00011BB8"/>
    <w:rsid w:val="00020717"/>
    <w:rsid w:val="0002415C"/>
    <w:rsid w:val="00024533"/>
    <w:rsid w:val="00044569"/>
    <w:rsid w:val="00044869"/>
    <w:rsid w:val="00060BA4"/>
    <w:rsid w:val="00081F8F"/>
    <w:rsid w:val="00090670"/>
    <w:rsid w:val="000A7C1E"/>
    <w:rsid w:val="000B7AA2"/>
    <w:rsid w:val="000C70B3"/>
    <w:rsid w:val="000D42F4"/>
    <w:rsid w:val="000D6C8B"/>
    <w:rsid w:val="000D7526"/>
    <w:rsid w:val="000E498B"/>
    <w:rsid w:val="000E79CF"/>
    <w:rsid w:val="000F1282"/>
    <w:rsid w:val="00117310"/>
    <w:rsid w:val="0012175D"/>
    <w:rsid w:val="00125948"/>
    <w:rsid w:val="00132276"/>
    <w:rsid w:val="00135EA1"/>
    <w:rsid w:val="001410EB"/>
    <w:rsid w:val="00142F9D"/>
    <w:rsid w:val="001627F8"/>
    <w:rsid w:val="00174F41"/>
    <w:rsid w:val="001805B6"/>
    <w:rsid w:val="00181FF3"/>
    <w:rsid w:val="00184A8C"/>
    <w:rsid w:val="001A3C07"/>
    <w:rsid w:val="001C0658"/>
    <w:rsid w:val="001C26F9"/>
    <w:rsid w:val="001D26BF"/>
    <w:rsid w:val="001E0AEC"/>
    <w:rsid w:val="001E231C"/>
    <w:rsid w:val="001E53A4"/>
    <w:rsid w:val="001F615C"/>
    <w:rsid w:val="001F7723"/>
    <w:rsid w:val="001F7BF2"/>
    <w:rsid w:val="0021108A"/>
    <w:rsid w:val="00223A19"/>
    <w:rsid w:val="002241EA"/>
    <w:rsid w:val="00227E64"/>
    <w:rsid w:val="00256079"/>
    <w:rsid w:val="002652BD"/>
    <w:rsid w:val="00267436"/>
    <w:rsid w:val="00267786"/>
    <w:rsid w:val="002718BE"/>
    <w:rsid w:val="00274BDB"/>
    <w:rsid w:val="00275065"/>
    <w:rsid w:val="00275606"/>
    <w:rsid w:val="0029678A"/>
    <w:rsid w:val="002B09C4"/>
    <w:rsid w:val="002B0A5B"/>
    <w:rsid w:val="002B4EB3"/>
    <w:rsid w:val="002C11FD"/>
    <w:rsid w:val="002C15DD"/>
    <w:rsid w:val="002C3965"/>
    <w:rsid w:val="002C3C43"/>
    <w:rsid w:val="002C4931"/>
    <w:rsid w:val="002C7AF8"/>
    <w:rsid w:val="002E215F"/>
    <w:rsid w:val="002E3AAF"/>
    <w:rsid w:val="002F6952"/>
    <w:rsid w:val="0034467D"/>
    <w:rsid w:val="003469FA"/>
    <w:rsid w:val="00362120"/>
    <w:rsid w:val="00374524"/>
    <w:rsid w:val="0037646B"/>
    <w:rsid w:val="003853C5"/>
    <w:rsid w:val="003A3993"/>
    <w:rsid w:val="003A693C"/>
    <w:rsid w:val="003B71DD"/>
    <w:rsid w:val="003D08B4"/>
    <w:rsid w:val="003D0ED2"/>
    <w:rsid w:val="003D1AC9"/>
    <w:rsid w:val="003D42B8"/>
    <w:rsid w:val="003D63CD"/>
    <w:rsid w:val="003D7653"/>
    <w:rsid w:val="003E0E6A"/>
    <w:rsid w:val="003F044F"/>
    <w:rsid w:val="003F56A5"/>
    <w:rsid w:val="003F58F1"/>
    <w:rsid w:val="00406151"/>
    <w:rsid w:val="00417569"/>
    <w:rsid w:val="00427A7A"/>
    <w:rsid w:val="00430D18"/>
    <w:rsid w:val="00431861"/>
    <w:rsid w:val="004343FB"/>
    <w:rsid w:val="00442D59"/>
    <w:rsid w:val="0044347A"/>
    <w:rsid w:val="0044750E"/>
    <w:rsid w:val="00447A02"/>
    <w:rsid w:val="00461918"/>
    <w:rsid w:val="004B050F"/>
    <w:rsid w:val="004B3D29"/>
    <w:rsid w:val="004B44E9"/>
    <w:rsid w:val="004B6C68"/>
    <w:rsid w:val="004C657F"/>
    <w:rsid w:val="004D3308"/>
    <w:rsid w:val="004D5B67"/>
    <w:rsid w:val="004E2C58"/>
    <w:rsid w:val="004E2ECD"/>
    <w:rsid w:val="004E7DE5"/>
    <w:rsid w:val="004F75BB"/>
    <w:rsid w:val="0050116C"/>
    <w:rsid w:val="005119FF"/>
    <w:rsid w:val="00523EB0"/>
    <w:rsid w:val="00524EFA"/>
    <w:rsid w:val="00527222"/>
    <w:rsid w:val="00534435"/>
    <w:rsid w:val="00543E1C"/>
    <w:rsid w:val="00551A2A"/>
    <w:rsid w:val="005649F8"/>
    <w:rsid w:val="005663D1"/>
    <w:rsid w:val="00567134"/>
    <w:rsid w:val="005703B9"/>
    <w:rsid w:val="00583354"/>
    <w:rsid w:val="0058401C"/>
    <w:rsid w:val="005944C8"/>
    <w:rsid w:val="005A01FE"/>
    <w:rsid w:val="005C6B0D"/>
    <w:rsid w:val="005D12B6"/>
    <w:rsid w:val="005D38B3"/>
    <w:rsid w:val="005D63E8"/>
    <w:rsid w:val="005F4634"/>
    <w:rsid w:val="005F4792"/>
    <w:rsid w:val="00607644"/>
    <w:rsid w:val="00616D10"/>
    <w:rsid w:val="0064735F"/>
    <w:rsid w:val="006604DE"/>
    <w:rsid w:val="0067545F"/>
    <w:rsid w:val="006773AB"/>
    <w:rsid w:val="00680A7E"/>
    <w:rsid w:val="00681744"/>
    <w:rsid w:val="006A1A11"/>
    <w:rsid w:val="006A6045"/>
    <w:rsid w:val="006A67AE"/>
    <w:rsid w:val="006A73A1"/>
    <w:rsid w:val="006B2112"/>
    <w:rsid w:val="006D5187"/>
    <w:rsid w:val="006D5B16"/>
    <w:rsid w:val="006E46E3"/>
    <w:rsid w:val="006E482D"/>
    <w:rsid w:val="006F0870"/>
    <w:rsid w:val="006F3108"/>
    <w:rsid w:val="006F404A"/>
    <w:rsid w:val="007161CA"/>
    <w:rsid w:val="0072056C"/>
    <w:rsid w:val="00725126"/>
    <w:rsid w:val="007316BC"/>
    <w:rsid w:val="007351A5"/>
    <w:rsid w:val="00747AFD"/>
    <w:rsid w:val="0075190C"/>
    <w:rsid w:val="007579A9"/>
    <w:rsid w:val="007739EB"/>
    <w:rsid w:val="0077565E"/>
    <w:rsid w:val="00776FE5"/>
    <w:rsid w:val="00780CA4"/>
    <w:rsid w:val="00786CD7"/>
    <w:rsid w:val="007A42CA"/>
    <w:rsid w:val="007A57A2"/>
    <w:rsid w:val="007C26DE"/>
    <w:rsid w:val="007C786B"/>
    <w:rsid w:val="007C7BEF"/>
    <w:rsid w:val="007D107C"/>
    <w:rsid w:val="007D4C49"/>
    <w:rsid w:val="007E1A12"/>
    <w:rsid w:val="007E6817"/>
    <w:rsid w:val="007F27EB"/>
    <w:rsid w:val="00800949"/>
    <w:rsid w:val="00803903"/>
    <w:rsid w:val="00814078"/>
    <w:rsid w:val="00831DE8"/>
    <w:rsid w:val="00837F8A"/>
    <w:rsid w:val="008442F8"/>
    <w:rsid w:val="0084433F"/>
    <w:rsid w:val="00850B73"/>
    <w:rsid w:val="00864C0F"/>
    <w:rsid w:val="00864F49"/>
    <w:rsid w:val="0088091F"/>
    <w:rsid w:val="0088177D"/>
    <w:rsid w:val="008867F5"/>
    <w:rsid w:val="008B521B"/>
    <w:rsid w:val="008E043F"/>
    <w:rsid w:val="008E2D03"/>
    <w:rsid w:val="008E53DD"/>
    <w:rsid w:val="008F0F3D"/>
    <w:rsid w:val="008F52DA"/>
    <w:rsid w:val="008F5F6D"/>
    <w:rsid w:val="0090125C"/>
    <w:rsid w:val="009133FF"/>
    <w:rsid w:val="00923098"/>
    <w:rsid w:val="0093130E"/>
    <w:rsid w:val="009360C7"/>
    <w:rsid w:val="0093686D"/>
    <w:rsid w:val="0094232D"/>
    <w:rsid w:val="00961F94"/>
    <w:rsid w:val="0096451D"/>
    <w:rsid w:val="00976B15"/>
    <w:rsid w:val="009823BF"/>
    <w:rsid w:val="009A2580"/>
    <w:rsid w:val="009B5A70"/>
    <w:rsid w:val="009C151F"/>
    <w:rsid w:val="009C3A21"/>
    <w:rsid w:val="009C5505"/>
    <w:rsid w:val="009D3DDD"/>
    <w:rsid w:val="009F2D1C"/>
    <w:rsid w:val="00A02916"/>
    <w:rsid w:val="00A04DDC"/>
    <w:rsid w:val="00A11BD9"/>
    <w:rsid w:val="00A121CD"/>
    <w:rsid w:val="00A177BA"/>
    <w:rsid w:val="00A230E0"/>
    <w:rsid w:val="00A31ABB"/>
    <w:rsid w:val="00A4751B"/>
    <w:rsid w:val="00A51F46"/>
    <w:rsid w:val="00A6429C"/>
    <w:rsid w:val="00A87C8C"/>
    <w:rsid w:val="00A91413"/>
    <w:rsid w:val="00A92DF9"/>
    <w:rsid w:val="00A963CE"/>
    <w:rsid w:val="00AA2023"/>
    <w:rsid w:val="00AA35E9"/>
    <w:rsid w:val="00AA5A24"/>
    <w:rsid w:val="00AA6771"/>
    <w:rsid w:val="00AA7943"/>
    <w:rsid w:val="00AB34CD"/>
    <w:rsid w:val="00AC272F"/>
    <w:rsid w:val="00AE389F"/>
    <w:rsid w:val="00AE5439"/>
    <w:rsid w:val="00B01DE1"/>
    <w:rsid w:val="00B062AB"/>
    <w:rsid w:val="00B07ABC"/>
    <w:rsid w:val="00B12711"/>
    <w:rsid w:val="00B16154"/>
    <w:rsid w:val="00B164A5"/>
    <w:rsid w:val="00B23E25"/>
    <w:rsid w:val="00B305DC"/>
    <w:rsid w:val="00B30A22"/>
    <w:rsid w:val="00B43C46"/>
    <w:rsid w:val="00B72B8A"/>
    <w:rsid w:val="00B87CEA"/>
    <w:rsid w:val="00B93D22"/>
    <w:rsid w:val="00B965E4"/>
    <w:rsid w:val="00B972E1"/>
    <w:rsid w:val="00BA09A4"/>
    <w:rsid w:val="00BA586E"/>
    <w:rsid w:val="00BB1DDB"/>
    <w:rsid w:val="00BC6271"/>
    <w:rsid w:val="00BD7F83"/>
    <w:rsid w:val="00BE0997"/>
    <w:rsid w:val="00BE20B6"/>
    <w:rsid w:val="00BE75BD"/>
    <w:rsid w:val="00BF39B5"/>
    <w:rsid w:val="00C01624"/>
    <w:rsid w:val="00C046B2"/>
    <w:rsid w:val="00C07928"/>
    <w:rsid w:val="00C36C47"/>
    <w:rsid w:val="00C44AB5"/>
    <w:rsid w:val="00C46353"/>
    <w:rsid w:val="00C4710A"/>
    <w:rsid w:val="00C476FA"/>
    <w:rsid w:val="00C67013"/>
    <w:rsid w:val="00C707C8"/>
    <w:rsid w:val="00C77EDD"/>
    <w:rsid w:val="00C9698B"/>
    <w:rsid w:val="00CA07EC"/>
    <w:rsid w:val="00CA4689"/>
    <w:rsid w:val="00CA52DA"/>
    <w:rsid w:val="00CB4C82"/>
    <w:rsid w:val="00CD2923"/>
    <w:rsid w:val="00CF2180"/>
    <w:rsid w:val="00CF2AB3"/>
    <w:rsid w:val="00D01075"/>
    <w:rsid w:val="00D04EC4"/>
    <w:rsid w:val="00D125A5"/>
    <w:rsid w:val="00D21AFF"/>
    <w:rsid w:val="00D33473"/>
    <w:rsid w:val="00D478BB"/>
    <w:rsid w:val="00D509E1"/>
    <w:rsid w:val="00D563F4"/>
    <w:rsid w:val="00D600F1"/>
    <w:rsid w:val="00D60774"/>
    <w:rsid w:val="00D7422A"/>
    <w:rsid w:val="00D83625"/>
    <w:rsid w:val="00D904F8"/>
    <w:rsid w:val="00DA4654"/>
    <w:rsid w:val="00DA7B3F"/>
    <w:rsid w:val="00DB57CC"/>
    <w:rsid w:val="00DB58BB"/>
    <w:rsid w:val="00DB6EBC"/>
    <w:rsid w:val="00DC055D"/>
    <w:rsid w:val="00DC0E7E"/>
    <w:rsid w:val="00DD1088"/>
    <w:rsid w:val="00E031F3"/>
    <w:rsid w:val="00E071CD"/>
    <w:rsid w:val="00E16C9D"/>
    <w:rsid w:val="00E17711"/>
    <w:rsid w:val="00E4521D"/>
    <w:rsid w:val="00E4550A"/>
    <w:rsid w:val="00E51A3B"/>
    <w:rsid w:val="00E5422C"/>
    <w:rsid w:val="00E561C0"/>
    <w:rsid w:val="00E56C2A"/>
    <w:rsid w:val="00E76D2E"/>
    <w:rsid w:val="00E83E79"/>
    <w:rsid w:val="00E931B9"/>
    <w:rsid w:val="00EB5AC6"/>
    <w:rsid w:val="00EB5EF8"/>
    <w:rsid w:val="00ED0838"/>
    <w:rsid w:val="00EE4477"/>
    <w:rsid w:val="00EE6735"/>
    <w:rsid w:val="00EF165C"/>
    <w:rsid w:val="00F003E1"/>
    <w:rsid w:val="00F01911"/>
    <w:rsid w:val="00F01A41"/>
    <w:rsid w:val="00F1100B"/>
    <w:rsid w:val="00F17BA8"/>
    <w:rsid w:val="00F20AC5"/>
    <w:rsid w:val="00F24E88"/>
    <w:rsid w:val="00F3709C"/>
    <w:rsid w:val="00F37F86"/>
    <w:rsid w:val="00F44756"/>
    <w:rsid w:val="00F454D0"/>
    <w:rsid w:val="00F5496B"/>
    <w:rsid w:val="00F54E1B"/>
    <w:rsid w:val="00F672AA"/>
    <w:rsid w:val="00F82669"/>
    <w:rsid w:val="00FA16EA"/>
    <w:rsid w:val="00FA4C56"/>
    <w:rsid w:val="00FA5FBD"/>
    <w:rsid w:val="00FA6331"/>
    <w:rsid w:val="00FA6592"/>
    <w:rsid w:val="00FB16C8"/>
    <w:rsid w:val="00FB693E"/>
    <w:rsid w:val="00FC5781"/>
    <w:rsid w:val="00FD4D0F"/>
    <w:rsid w:val="00FD553D"/>
    <w:rsid w:val="00FD60EF"/>
    <w:rsid w:val="00FD77A0"/>
    <w:rsid w:val="00FE1ECE"/>
    <w:rsid w:val="00F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C147"/>
  <w15:docId w15:val="{3B73BA99-1D67-4B03-A747-7FE69E30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D0ED2"/>
    <w:pPr>
      <w:ind w:left="720"/>
      <w:contextualSpacing/>
    </w:pPr>
  </w:style>
  <w:style w:type="table" w:styleId="LightList-Accent1">
    <w:name w:val="Light List Accent 1"/>
    <w:basedOn w:val="TableNormal"/>
    <w:uiPriority w:val="61"/>
    <w:rsid w:val="00F003E1"/>
    <w:pPr>
      <w:spacing w:line="240" w:lineRule="auto"/>
    </w:pPr>
    <w:rPr>
      <w:rFonts w:asciiTheme="minorHAnsi" w:eastAsiaTheme="minorHAnsi" w:hAnsiTheme="minorHAnsi" w:cstheme="minorBid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7A57A2"/>
    <w:rPr>
      <w:sz w:val="16"/>
      <w:szCs w:val="16"/>
    </w:rPr>
  </w:style>
  <w:style w:type="paragraph" w:styleId="CommentText">
    <w:name w:val="annotation text"/>
    <w:basedOn w:val="Normal"/>
    <w:link w:val="CommentTextChar"/>
    <w:uiPriority w:val="99"/>
    <w:semiHidden/>
    <w:unhideWhenUsed/>
    <w:rsid w:val="007A57A2"/>
    <w:pPr>
      <w:spacing w:line="240" w:lineRule="auto"/>
    </w:pPr>
    <w:rPr>
      <w:sz w:val="20"/>
      <w:szCs w:val="20"/>
    </w:rPr>
  </w:style>
  <w:style w:type="character" w:customStyle="1" w:styleId="CommentTextChar">
    <w:name w:val="Comment Text Char"/>
    <w:basedOn w:val="DefaultParagraphFont"/>
    <w:link w:val="CommentText"/>
    <w:uiPriority w:val="99"/>
    <w:semiHidden/>
    <w:rsid w:val="007A57A2"/>
    <w:rPr>
      <w:sz w:val="20"/>
      <w:szCs w:val="20"/>
    </w:rPr>
  </w:style>
  <w:style w:type="paragraph" w:styleId="CommentSubject">
    <w:name w:val="annotation subject"/>
    <w:basedOn w:val="CommentText"/>
    <w:next w:val="CommentText"/>
    <w:link w:val="CommentSubjectChar"/>
    <w:uiPriority w:val="99"/>
    <w:semiHidden/>
    <w:unhideWhenUsed/>
    <w:rsid w:val="007A57A2"/>
    <w:rPr>
      <w:b/>
      <w:bCs/>
    </w:rPr>
  </w:style>
  <w:style w:type="character" w:customStyle="1" w:styleId="CommentSubjectChar">
    <w:name w:val="Comment Subject Char"/>
    <w:basedOn w:val="CommentTextChar"/>
    <w:link w:val="CommentSubject"/>
    <w:uiPriority w:val="99"/>
    <w:semiHidden/>
    <w:rsid w:val="007A57A2"/>
    <w:rPr>
      <w:b/>
      <w:bCs/>
      <w:sz w:val="20"/>
      <w:szCs w:val="20"/>
    </w:rPr>
  </w:style>
  <w:style w:type="paragraph" w:styleId="BalloonText">
    <w:name w:val="Balloon Text"/>
    <w:basedOn w:val="Normal"/>
    <w:link w:val="BalloonTextChar"/>
    <w:uiPriority w:val="99"/>
    <w:semiHidden/>
    <w:unhideWhenUsed/>
    <w:rsid w:val="007A57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A2"/>
    <w:rPr>
      <w:rFonts w:ascii="Segoe UI" w:hAnsi="Segoe UI" w:cs="Segoe UI"/>
      <w:sz w:val="18"/>
      <w:szCs w:val="18"/>
    </w:rPr>
  </w:style>
  <w:style w:type="paragraph" w:styleId="NormalWeb">
    <w:name w:val="Normal (Web)"/>
    <w:basedOn w:val="Normal"/>
    <w:uiPriority w:val="99"/>
    <w:unhideWhenUsed/>
    <w:rsid w:val="000D6C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D6C8B"/>
    <w:rPr>
      <w:i/>
      <w:iCs/>
    </w:rPr>
  </w:style>
  <w:style w:type="character" w:styleId="Hyperlink">
    <w:name w:val="Hyperlink"/>
    <w:basedOn w:val="DefaultParagraphFont"/>
    <w:uiPriority w:val="99"/>
    <w:unhideWhenUsed/>
    <w:rsid w:val="000D6C8B"/>
    <w:rPr>
      <w:color w:val="0000FF"/>
      <w:u w:val="single"/>
    </w:rPr>
  </w:style>
  <w:style w:type="character" w:customStyle="1" w:styleId="mixed-citation">
    <w:name w:val="mixed-citation"/>
    <w:basedOn w:val="DefaultParagraphFont"/>
    <w:rsid w:val="00D7422A"/>
  </w:style>
  <w:style w:type="character" w:styleId="FollowedHyperlink">
    <w:name w:val="FollowedHyperlink"/>
    <w:basedOn w:val="DefaultParagraphFont"/>
    <w:uiPriority w:val="99"/>
    <w:semiHidden/>
    <w:unhideWhenUsed/>
    <w:rsid w:val="007E1A12"/>
    <w:rPr>
      <w:color w:val="800080" w:themeColor="followedHyperlink"/>
      <w:u w:val="single"/>
    </w:rPr>
  </w:style>
  <w:style w:type="character" w:customStyle="1" w:styleId="text">
    <w:name w:val="text"/>
    <w:basedOn w:val="DefaultParagraphFont"/>
    <w:rsid w:val="00005F65"/>
  </w:style>
  <w:style w:type="table" w:styleId="TableGrid">
    <w:name w:val="Table Grid"/>
    <w:basedOn w:val="TableNormal"/>
    <w:uiPriority w:val="39"/>
    <w:rsid w:val="00FD77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4C0F"/>
    <w:rPr>
      <w:color w:val="605E5C"/>
      <w:shd w:val="clear" w:color="auto" w:fill="E1DFDD"/>
    </w:rPr>
  </w:style>
  <w:style w:type="paragraph" w:styleId="Header">
    <w:name w:val="header"/>
    <w:basedOn w:val="Normal"/>
    <w:link w:val="HeaderChar"/>
    <w:uiPriority w:val="99"/>
    <w:unhideWhenUsed/>
    <w:rsid w:val="00E031F3"/>
    <w:pPr>
      <w:tabs>
        <w:tab w:val="center" w:pos="4680"/>
        <w:tab w:val="right" w:pos="9360"/>
      </w:tabs>
      <w:spacing w:line="240" w:lineRule="auto"/>
    </w:pPr>
  </w:style>
  <w:style w:type="character" w:customStyle="1" w:styleId="HeaderChar">
    <w:name w:val="Header Char"/>
    <w:basedOn w:val="DefaultParagraphFont"/>
    <w:link w:val="Header"/>
    <w:uiPriority w:val="99"/>
    <w:rsid w:val="00E031F3"/>
  </w:style>
  <w:style w:type="paragraph" w:styleId="Footer">
    <w:name w:val="footer"/>
    <w:basedOn w:val="Normal"/>
    <w:link w:val="FooterChar"/>
    <w:uiPriority w:val="99"/>
    <w:unhideWhenUsed/>
    <w:rsid w:val="00E031F3"/>
    <w:pPr>
      <w:tabs>
        <w:tab w:val="center" w:pos="4680"/>
        <w:tab w:val="right" w:pos="9360"/>
      </w:tabs>
      <w:spacing w:line="240" w:lineRule="auto"/>
    </w:pPr>
  </w:style>
  <w:style w:type="character" w:customStyle="1" w:styleId="FooterChar">
    <w:name w:val="Footer Char"/>
    <w:basedOn w:val="DefaultParagraphFont"/>
    <w:link w:val="Footer"/>
    <w:uiPriority w:val="99"/>
    <w:rsid w:val="00E0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1946">
      <w:bodyDiv w:val="1"/>
      <w:marLeft w:val="0"/>
      <w:marRight w:val="0"/>
      <w:marTop w:val="0"/>
      <w:marBottom w:val="0"/>
      <w:divBdr>
        <w:top w:val="none" w:sz="0" w:space="0" w:color="auto"/>
        <w:left w:val="none" w:sz="0" w:space="0" w:color="auto"/>
        <w:bottom w:val="none" w:sz="0" w:space="0" w:color="auto"/>
        <w:right w:val="none" w:sz="0" w:space="0" w:color="auto"/>
      </w:divBdr>
    </w:div>
    <w:div w:id="124858309">
      <w:bodyDiv w:val="1"/>
      <w:marLeft w:val="0"/>
      <w:marRight w:val="0"/>
      <w:marTop w:val="0"/>
      <w:marBottom w:val="0"/>
      <w:divBdr>
        <w:top w:val="none" w:sz="0" w:space="0" w:color="auto"/>
        <w:left w:val="none" w:sz="0" w:space="0" w:color="auto"/>
        <w:bottom w:val="none" w:sz="0" w:space="0" w:color="auto"/>
        <w:right w:val="none" w:sz="0" w:space="0" w:color="auto"/>
      </w:divBdr>
    </w:div>
    <w:div w:id="141511794">
      <w:bodyDiv w:val="1"/>
      <w:marLeft w:val="0"/>
      <w:marRight w:val="0"/>
      <w:marTop w:val="0"/>
      <w:marBottom w:val="0"/>
      <w:divBdr>
        <w:top w:val="none" w:sz="0" w:space="0" w:color="auto"/>
        <w:left w:val="none" w:sz="0" w:space="0" w:color="auto"/>
        <w:bottom w:val="none" w:sz="0" w:space="0" w:color="auto"/>
        <w:right w:val="none" w:sz="0" w:space="0" w:color="auto"/>
      </w:divBdr>
    </w:div>
    <w:div w:id="192110288">
      <w:bodyDiv w:val="1"/>
      <w:marLeft w:val="0"/>
      <w:marRight w:val="0"/>
      <w:marTop w:val="0"/>
      <w:marBottom w:val="0"/>
      <w:divBdr>
        <w:top w:val="none" w:sz="0" w:space="0" w:color="auto"/>
        <w:left w:val="none" w:sz="0" w:space="0" w:color="auto"/>
        <w:bottom w:val="none" w:sz="0" w:space="0" w:color="auto"/>
        <w:right w:val="none" w:sz="0" w:space="0" w:color="auto"/>
      </w:divBdr>
    </w:div>
    <w:div w:id="243295362">
      <w:bodyDiv w:val="1"/>
      <w:marLeft w:val="0"/>
      <w:marRight w:val="0"/>
      <w:marTop w:val="0"/>
      <w:marBottom w:val="0"/>
      <w:divBdr>
        <w:top w:val="none" w:sz="0" w:space="0" w:color="auto"/>
        <w:left w:val="none" w:sz="0" w:space="0" w:color="auto"/>
        <w:bottom w:val="none" w:sz="0" w:space="0" w:color="auto"/>
        <w:right w:val="none" w:sz="0" w:space="0" w:color="auto"/>
      </w:divBdr>
    </w:div>
    <w:div w:id="291711765">
      <w:bodyDiv w:val="1"/>
      <w:marLeft w:val="0"/>
      <w:marRight w:val="0"/>
      <w:marTop w:val="0"/>
      <w:marBottom w:val="0"/>
      <w:divBdr>
        <w:top w:val="none" w:sz="0" w:space="0" w:color="auto"/>
        <w:left w:val="none" w:sz="0" w:space="0" w:color="auto"/>
        <w:bottom w:val="none" w:sz="0" w:space="0" w:color="auto"/>
        <w:right w:val="none" w:sz="0" w:space="0" w:color="auto"/>
      </w:divBdr>
    </w:div>
    <w:div w:id="479076148">
      <w:bodyDiv w:val="1"/>
      <w:marLeft w:val="0"/>
      <w:marRight w:val="0"/>
      <w:marTop w:val="0"/>
      <w:marBottom w:val="0"/>
      <w:divBdr>
        <w:top w:val="none" w:sz="0" w:space="0" w:color="auto"/>
        <w:left w:val="none" w:sz="0" w:space="0" w:color="auto"/>
        <w:bottom w:val="none" w:sz="0" w:space="0" w:color="auto"/>
        <w:right w:val="none" w:sz="0" w:space="0" w:color="auto"/>
      </w:divBdr>
    </w:div>
    <w:div w:id="739400887">
      <w:bodyDiv w:val="1"/>
      <w:marLeft w:val="0"/>
      <w:marRight w:val="0"/>
      <w:marTop w:val="0"/>
      <w:marBottom w:val="0"/>
      <w:divBdr>
        <w:top w:val="none" w:sz="0" w:space="0" w:color="auto"/>
        <w:left w:val="none" w:sz="0" w:space="0" w:color="auto"/>
        <w:bottom w:val="none" w:sz="0" w:space="0" w:color="auto"/>
        <w:right w:val="none" w:sz="0" w:space="0" w:color="auto"/>
      </w:divBdr>
    </w:div>
    <w:div w:id="812066156">
      <w:bodyDiv w:val="1"/>
      <w:marLeft w:val="0"/>
      <w:marRight w:val="0"/>
      <w:marTop w:val="0"/>
      <w:marBottom w:val="0"/>
      <w:divBdr>
        <w:top w:val="none" w:sz="0" w:space="0" w:color="auto"/>
        <w:left w:val="none" w:sz="0" w:space="0" w:color="auto"/>
        <w:bottom w:val="none" w:sz="0" w:space="0" w:color="auto"/>
        <w:right w:val="none" w:sz="0" w:space="0" w:color="auto"/>
      </w:divBdr>
    </w:div>
    <w:div w:id="827209625">
      <w:bodyDiv w:val="1"/>
      <w:marLeft w:val="0"/>
      <w:marRight w:val="0"/>
      <w:marTop w:val="0"/>
      <w:marBottom w:val="0"/>
      <w:divBdr>
        <w:top w:val="none" w:sz="0" w:space="0" w:color="auto"/>
        <w:left w:val="none" w:sz="0" w:space="0" w:color="auto"/>
        <w:bottom w:val="none" w:sz="0" w:space="0" w:color="auto"/>
        <w:right w:val="none" w:sz="0" w:space="0" w:color="auto"/>
      </w:divBdr>
    </w:div>
    <w:div w:id="971011472">
      <w:bodyDiv w:val="1"/>
      <w:marLeft w:val="0"/>
      <w:marRight w:val="0"/>
      <w:marTop w:val="0"/>
      <w:marBottom w:val="0"/>
      <w:divBdr>
        <w:top w:val="none" w:sz="0" w:space="0" w:color="auto"/>
        <w:left w:val="none" w:sz="0" w:space="0" w:color="auto"/>
        <w:bottom w:val="none" w:sz="0" w:space="0" w:color="auto"/>
        <w:right w:val="none" w:sz="0" w:space="0" w:color="auto"/>
      </w:divBdr>
    </w:div>
    <w:div w:id="1078014227">
      <w:bodyDiv w:val="1"/>
      <w:marLeft w:val="0"/>
      <w:marRight w:val="0"/>
      <w:marTop w:val="0"/>
      <w:marBottom w:val="0"/>
      <w:divBdr>
        <w:top w:val="none" w:sz="0" w:space="0" w:color="auto"/>
        <w:left w:val="none" w:sz="0" w:space="0" w:color="auto"/>
        <w:bottom w:val="none" w:sz="0" w:space="0" w:color="auto"/>
        <w:right w:val="none" w:sz="0" w:space="0" w:color="auto"/>
      </w:divBdr>
    </w:div>
    <w:div w:id="1184396085">
      <w:bodyDiv w:val="1"/>
      <w:marLeft w:val="0"/>
      <w:marRight w:val="0"/>
      <w:marTop w:val="0"/>
      <w:marBottom w:val="0"/>
      <w:divBdr>
        <w:top w:val="none" w:sz="0" w:space="0" w:color="auto"/>
        <w:left w:val="none" w:sz="0" w:space="0" w:color="auto"/>
        <w:bottom w:val="none" w:sz="0" w:space="0" w:color="auto"/>
        <w:right w:val="none" w:sz="0" w:space="0" w:color="auto"/>
      </w:divBdr>
    </w:div>
    <w:div w:id="1399356832">
      <w:bodyDiv w:val="1"/>
      <w:marLeft w:val="0"/>
      <w:marRight w:val="0"/>
      <w:marTop w:val="0"/>
      <w:marBottom w:val="0"/>
      <w:divBdr>
        <w:top w:val="none" w:sz="0" w:space="0" w:color="auto"/>
        <w:left w:val="none" w:sz="0" w:space="0" w:color="auto"/>
        <w:bottom w:val="none" w:sz="0" w:space="0" w:color="auto"/>
        <w:right w:val="none" w:sz="0" w:space="0" w:color="auto"/>
      </w:divBdr>
    </w:div>
    <w:div w:id="1546408499">
      <w:bodyDiv w:val="1"/>
      <w:marLeft w:val="0"/>
      <w:marRight w:val="0"/>
      <w:marTop w:val="0"/>
      <w:marBottom w:val="0"/>
      <w:divBdr>
        <w:top w:val="none" w:sz="0" w:space="0" w:color="auto"/>
        <w:left w:val="none" w:sz="0" w:space="0" w:color="auto"/>
        <w:bottom w:val="none" w:sz="0" w:space="0" w:color="auto"/>
        <w:right w:val="none" w:sz="0" w:space="0" w:color="auto"/>
      </w:divBdr>
    </w:div>
    <w:div w:id="1546873000">
      <w:bodyDiv w:val="1"/>
      <w:marLeft w:val="0"/>
      <w:marRight w:val="0"/>
      <w:marTop w:val="0"/>
      <w:marBottom w:val="0"/>
      <w:divBdr>
        <w:top w:val="none" w:sz="0" w:space="0" w:color="auto"/>
        <w:left w:val="none" w:sz="0" w:space="0" w:color="auto"/>
        <w:bottom w:val="none" w:sz="0" w:space="0" w:color="auto"/>
        <w:right w:val="none" w:sz="0" w:space="0" w:color="auto"/>
      </w:divBdr>
    </w:div>
    <w:div w:id="1954701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hnshopkinssolutions.com/solution/rise-peer-support-for-caregivers-in-distress/" TargetMode="Externa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yperlink" Target="https://www.nationwidechildrens.org/careers/you-matter-program" TargetMode="External"/><Relationship Id="rId17" Type="http://schemas.openxmlformats.org/officeDocument/2006/relationships/hyperlink" Target="https://urldefense.com/v3/__https:/www.med.unc.edu/psych/wellness-initiatives/peer-support-program/__;!!PfbeBCCAmug!1bn5sZjpvTmfGH1gdI0r30Rg9o2xHRb5kIzEW251ANP3oZTZcYnhj7sQA6_OHVFMB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s:/www.unchealthcare.org/wellbeing/toolkit/toolkit-overview/mental-healthemotional-support-resources-for-co-workers-and-prov/__;!!PfbeBCCAmug!1bn5sZjpvTmfGH1gdI0r30Rg9o2xHRb5kIzEW251ANP3oZTZcYnhj7sQA6_LZJQkhA$"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tahg.com/beta-heart-care-for-the-caregiv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righamandwomens.org/about-bwh/omcoss/peer-support-program" TargetMode="External"/><Relationship Id="rId23" Type="http://schemas.openxmlformats.org/officeDocument/2006/relationships/hyperlink" Target="http://www.ahrq.gov/professionals/quality-patient-safety/patient-safety-resources/resources/candor/module6-guide.html" TargetMode="External"/><Relationship Id="rId10" Type="http://schemas.openxmlformats.org/officeDocument/2006/relationships/hyperlink" Target="https://www.muhealth.org/about-us/quality-care-patient-safety/office-of-clinical-effectiveness/foryou" TargetMode="External"/><Relationship Id="rId19"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rylandpatientsafety.org/Caregiver.aspx"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8A7BEB-CCB8-449B-817B-E6FD8AAC71B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43408000-8C39-489C-860D-5698F0F3241E}">
      <dgm:prSet phldrT="[Text]"/>
      <dgm:spPr/>
      <dgm:t>
        <a:bodyPr/>
        <a:lstStyle/>
        <a:p>
          <a:r>
            <a:rPr lang="en-US"/>
            <a:t>Building a second victim program</a:t>
          </a:r>
        </a:p>
      </dgm:t>
    </dgm:pt>
    <dgm:pt modelId="{768151CF-F934-4016-8A7E-FA6713630C84}" type="parTrans" cxnId="{63643B2B-4650-4822-84B5-CDE8D0654480}">
      <dgm:prSet/>
      <dgm:spPr/>
      <dgm:t>
        <a:bodyPr/>
        <a:lstStyle/>
        <a:p>
          <a:endParaRPr lang="en-US"/>
        </a:p>
      </dgm:t>
    </dgm:pt>
    <dgm:pt modelId="{D22CF966-0DAF-4B5E-9CF9-1D8C705CE647}" type="sibTrans" cxnId="{63643B2B-4650-4822-84B5-CDE8D0654480}">
      <dgm:prSet/>
      <dgm:spPr/>
      <dgm:t>
        <a:bodyPr/>
        <a:lstStyle/>
        <a:p>
          <a:endParaRPr lang="en-US"/>
        </a:p>
      </dgm:t>
    </dgm:pt>
    <dgm:pt modelId="{2311E098-F1C6-4126-B2E4-489ABCEFC1B1}">
      <dgm:prSet phldrT="[Text]"/>
      <dgm:spPr/>
      <dgm:t>
        <a:bodyPr/>
        <a:lstStyle/>
        <a:p>
          <a:r>
            <a:rPr lang="en-US"/>
            <a:t>Identify a core team</a:t>
          </a:r>
        </a:p>
      </dgm:t>
    </dgm:pt>
    <dgm:pt modelId="{3DC9944E-3932-4B2B-9682-BF2258CD14D7}" type="parTrans" cxnId="{0E370743-287A-4FF6-94D7-B4964CA684CE}">
      <dgm:prSet/>
      <dgm:spPr/>
      <dgm:t>
        <a:bodyPr/>
        <a:lstStyle/>
        <a:p>
          <a:endParaRPr lang="en-US"/>
        </a:p>
      </dgm:t>
    </dgm:pt>
    <dgm:pt modelId="{6C424689-4798-4C7E-952B-B7F78B82AC7E}" type="sibTrans" cxnId="{0E370743-287A-4FF6-94D7-B4964CA684CE}">
      <dgm:prSet/>
      <dgm:spPr/>
      <dgm:t>
        <a:bodyPr/>
        <a:lstStyle/>
        <a:p>
          <a:endParaRPr lang="en-US"/>
        </a:p>
      </dgm:t>
    </dgm:pt>
    <dgm:pt modelId="{5ADD372E-B8FA-4F43-8748-7839CC877A8B}">
      <dgm:prSet phldrT="[Text]"/>
      <dgm:spPr/>
      <dgm:t>
        <a:bodyPr/>
        <a:lstStyle/>
        <a:p>
          <a:r>
            <a:rPr lang="en-US"/>
            <a:t>Find an executive sponsor</a:t>
          </a:r>
        </a:p>
      </dgm:t>
    </dgm:pt>
    <dgm:pt modelId="{D8232C0F-9F9F-46DE-B528-34CACF11E69D}" type="parTrans" cxnId="{219DF514-E6B7-4DE2-9AF7-2BDBAE8822B2}">
      <dgm:prSet/>
      <dgm:spPr/>
      <dgm:t>
        <a:bodyPr/>
        <a:lstStyle/>
        <a:p>
          <a:endParaRPr lang="en-US"/>
        </a:p>
      </dgm:t>
    </dgm:pt>
    <dgm:pt modelId="{4A8A6103-462F-46A9-AF21-B4E5342A86D6}" type="sibTrans" cxnId="{219DF514-E6B7-4DE2-9AF7-2BDBAE8822B2}">
      <dgm:prSet/>
      <dgm:spPr/>
      <dgm:t>
        <a:bodyPr/>
        <a:lstStyle/>
        <a:p>
          <a:endParaRPr lang="en-US"/>
        </a:p>
      </dgm:t>
    </dgm:pt>
    <dgm:pt modelId="{4100CE23-F047-49D7-8CFD-79595EE73026}">
      <dgm:prSet phldrT="[Text]"/>
      <dgm:spPr/>
      <dgm:t>
        <a:bodyPr/>
        <a:lstStyle/>
        <a:p>
          <a:r>
            <a:rPr lang="en-US"/>
            <a:t>Educate and train</a:t>
          </a:r>
        </a:p>
      </dgm:t>
    </dgm:pt>
    <dgm:pt modelId="{9A47056F-1F40-45C7-A035-58D477E3EBDE}" type="parTrans" cxnId="{57D04AB9-0336-4064-B788-EE5C6C1B4AC2}">
      <dgm:prSet/>
      <dgm:spPr/>
      <dgm:t>
        <a:bodyPr/>
        <a:lstStyle/>
        <a:p>
          <a:endParaRPr lang="en-US"/>
        </a:p>
      </dgm:t>
    </dgm:pt>
    <dgm:pt modelId="{ACDB8EE5-6901-46CC-950B-728D69D1E6B4}" type="sibTrans" cxnId="{57D04AB9-0336-4064-B788-EE5C6C1B4AC2}">
      <dgm:prSet/>
      <dgm:spPr/>
      <dgm:t>
        <a:bodyPr/>
        <a:lstStyle/>
        <a:p>
          <a:endParaRPr lang="en-US"/>
        </a:p>
      </dgm:t>
    </dgm:pt>
    <dgm:pt modelId="{1A9663ED-35E9-46EB-8380-DB96431578B1}">
      <dgm:prSet phldrT="[Text]"/>
      <dgm:spPr/>
      <dgm:t>
        <a:bodyPr/>
        <a:lstStyle/>
        <a:p>
          <a:r>
            <a:rPr lang="en-US"/>
            <a:t>Track data </a:t>
          </a:r>
        </a:p>
      </dgm:t>
    </dgm:pt>
    <dgm:pt modelId="{42D6D8E4-A4F6-454E-95DB-5D4BD4990899}" type="parTrans" cxnId="{1FC90F7F-027F-4763-B96C-308C964D8424}">
      <dgm:prSet/>
      <dgm:spPr/>
      <dgm:t>
        <a:bodyPr/>
        <a:lstStyle/>
        <a:p>
          <a:endParaRPr lang="en-US"/>
        </a:p>
      </dgm:t>
    </dgm:pt>
    <dgm:pt modelId="{EEB322BF-5BCE-45F8-A0C9-E18DF48BF420}" type="sibTrans" cxnId="{1FC90F7F-027F-4763-B96C-308C964D8424}">
      <dgm:prSet/>
      <dgm:spPr/>
      <dgm:t>
        <a:bodyPr/>
        <a:lstStyle/>
        <a:p>
          <a:endParaRPr lang="en-US"/>
        </a:p>
      </dgm:t>
    </dgm:pt>
    <dgm:pt modelId="{4AAD508F-878C-4CC0-9455-ABA01BCA164A}">
      <dgm:prSet phldrT="[Text]"/>
      <dgm:spPr/>
      <dgm:t>
        <a:bodyPr/>
        <a:lstStyle/>
        <a:p>
          <a:r>
            <a:rPr lang="en-US"/>
            <a:t>Develop unit based teams</a:t>
          </a:r>
        </a:p>
      </dgm:t>
    </dgm:pt>
    <dgm:pt modelId="{082F90FF-800F-456A-A8C4-0B6AF5EB0261}" type="parTrans" cxnId="{64F90914-AD93-43C5-9C5A-7A7C1079BACB}">
      <dgm:prSet/>
      <dgm:spPr/>
      <dgm:t>
        <a:bodyPr/>
        <a:lstStyle/>
        <a:p>
          <a:endParaRPr lang="en-US"/>
        </a:p>
      </dgm:t>
    </dgm:pt>
    <dgm:pt modelId="{9B12BA55-4A45-4174-97AD-3BE7DD3619E0}" type="sibTrans" cxnId="{64F90914-AD93-43C5-9C5A-7A7C1079BACB}">
      <dgm:prSet/>
      <dgm:spPr/>
      <dgm:t>
        <a:bodyPr/>
        <a:lstStyle/>
        <a:p>
          <a:endParaRPr lang="en-US"/>
        </a:p>
      </dgm:t>
    </dgm:pt>
    <dgm:pt modelId="{309D4CA4-0A60-495A-9ED7-7D5FCAC9EE94}">
      <dgm:prSet phldrT="[Text]"/>
      <dgm:spPr/>
      <dgm:t>
        <a:bodyPr/>
        <a:lstStyle/>
        <a:p>
          <a:r>
            <a:rPr lang="en-US"/>
            <a:t>Involve marketing</a:t>
          </a:r>
        </a:p>
      </dgm:t>
    </dgm:pt>
    <dgm:pt modelId="{CFEF584B-3EC2-4763-A6B2-B2F97A74FC24}" type="parTrans" cxnId="{BB7301AE-43C2-471C-9F6F-376E8B8366F1}">
      <dgm:prSet/>
      <dgm:spPr/>
      <dgm:t>
        <a:bodyPr/>
        <a:lstStyle/>
        <a:p>
          <a:endParaRPr lang="en-US"/>
        </a:p>
      </dgm:t>
    </dgm:pt>
    <dgm:pt modelId="{54920DAA-B99D-4E21-86F2-890378569E16}" type="sibTrans" cxnId="{BB7301AE-43C2-471C-9F6F-376E8B8366F1}">
      <dgm:prSet/>
      <dgm:spPr/>
      <dgm:t>
        <a:bodyPr/>
        <a:lstStyle/>
        <a:p>
          <a:endParaRPr lang="en-US"/>
        </a:p>
      </dgm:t>
    </dgm:pt>
    <dgm:pt modelId="{0C9BC695-4B38-4D65-9C46-D3E059FBB3A1}" type="pres">
      <dgm:prSet presAssocID="{808A7BEB-CCB8-449B-817B-E6FD8AAC71BE}" presName="cycle" presStyleCnt="0">
        <dgm:presLayoutVars>
          <dgm:chMax val="1"/>
          <dgm:dir/>
          <dgm:animLvl val="ctr"/>
          <dgm:resizeHandles val="exact"/>
        </dgm:presLayoutVars>
      </dgm:prSet>
      <dgm:spPr/>
      <dgm:t>
        <a:bodyPr/>
        <a:lstStyle/>
        <a:p>
          <a:endParaRPr lang="en-US"/>
        </a:p>
      </dgm:t>
    </dgm:pt>
    <dgm:pt modelId="{2F6C88AE-5646-43DD-8442-7C046D5C4DF3}" type="pres">
      <dgm:prSet presAssocID="{43408000-8C39-489C-860D-5698F0F3241E}" presName="centerShape" presStyleLbl="node0" presStyleIdx="0" presStyleCnt="1"/>
      <dgm:spPr/>
      <dgm:t>
        <a:bodyPr/>
        <a:lstStyle/>
        <a:p>
          <a:endParaRPr lang="en-US"/>
        </a:p>
      </dgm:t>
    </dgm:pt>
    <dgm:pt modelId="{341B7957-7FC3-464B-82F7-EB90256B78D0}" type="pres">
      <dgm:prSet presAssocID="{3DC9944E-3932-4B2B-9682-BF2258CD14D7}" presName="Name9" presStyleLbl="parChTrans1D2" presStyleIdx="0" presStyleCnt="6"/>
      <dgm:spPr/>
      <dgm:t>
        <a:bodyPr/>
        <a:lstStyle/>
        <a:p>
          <a:endParaRPr lang="en-US"/>
        </a:p>
      </dgm:t>
    </dgm:pt>
    <dgm:pt modelId="{57234F42-5EA1-4F4C-921A-E0150C6B5325}" type="pres">
      <dgm:prSet presAssocID="{3DC9944E-3932-4B2B-9682-BF2258CD14D7}" presName="connTx" presStyleLbl="parChTrans1D2" presStyleIdx="0" presStyleCnt="6"/>
      <dgm:spPr/>
      <dgm:t>
        <a:bodyPr/>
        <a:lstStyle/>
        <a:p>
          <a:endParaRPr lang="en-US"/>
        </a:p>
      </dgm:t>
    </dgm:pt>
    <dgm:pt modelId="{39D02CB9-4F96-4F1F-8BE0-81EF388CDE1F}" type="pres">
      <dgm:prSet presAssocID="{2311E098-F1C6-4126-B2E4-489ABCEFC1B1}" presName="node" presStyleLbl="node1" presStyleIdx="0" presStyleCnt="6">
        <dgm:presLayoutVars>
          <dgm:bulletEnabled val="1"/>
        </dgm:presLayoutVars>
      </dgm:prSet>
      <dgm:spPr/>
      <dgm:t>
        <a:bodyPr/>
        <a:lstStyle/>
        <a:p>
          <a:endParaRPr lang="en-US"/>
        </a:p>
      </dgm:t>
    </dgm:pt>
    <dgm:pt modelId="{87E75E09-DB32-4DD4-A910-FB156DB0D5A1}" type="pres">
      <dgm:prSet presAssocID="{D8232C0F-9F9F-46DE-B528-34CACF11E69D}" presName="Name9" presStyleLbl="parChTrans1D2" presStyleIdx="1" presStyleCnt="6"/>
      <dgm:spPr/>
      <dgm:t>
        <a:bodyPr/>
        <a:lstStyle/>
        <a:p>
          <a:endParaRPr lang="en-US"/>
        </a:p>
      </dgm:t>
    </dgm:pt>
    <dgm:pt modelId="{80270935-D21F-40D2-AB81-4878E173B8AE}" type="pres">
      <dgm:prSet presAssocID="{D8232C0F-9F9F-46DE-B528-34CACF11E69D}" presName="connTx" presStyleLbl="parChTrans1D2" presStyleIdx="1" presStyleCnt="6"/>
      <dgm:spPr/>
      <dgm:t>
        <a:bodyPr/>
        <a:lstStyle/>
        <a:p>
          <a:endParaRPr lang="en-US"/>
        </a:p>
      </dgm:t>
    </dgm:pt>
    <dgm:pt modelId="{2F1EE4DF-2E59-4466-8D15-FA3E1C499504}" type="pres">
      <dgm:prSet presAssocID="{5ADD372E-B8FA-4F43-8748-7839CC877A8B}" presName="node" presStyleLbl="node1" presStyleIdx="1" presStyleCnt="6">
        <dgm:presLayoutVars>
          <dgm:bulletEnabled val="1"/>
        </dgm:presLayoutVars>
      </dgm:prSet>
      <dgm:spPr/>
      <dgm:t>
        <a:bodyPr/>
        <a:lstStyle/>
        <a:p>
          <a:endParaRPr lang="en-US"/>
        </a:p>
      </dgm:t>
    </dgm:pt>
    <dgm:pt modelId="{B74574D9-9D81-49B6-A242-17D3A2921D16}" type="pres">
      <dgm:prSet presAssocID="{082F90FF-800F-456A-A8C4-0B6AF5EB0261}" presName="Name9" presStyleLbl="parChTrans1D2" presStyleIdx="2" presStyleCnt="6"/>
      <dgm:spPr/>
      <dgm:t>
        <a:bodyPr/>
        <a:lstStyle/>
        <a:p>
          <a:endParaRPr lang="en-US"/>
        </a:p>
      </dgm:t>
    </dgm:pt>
    <dgm:pt modelId="{D45CF7F5-4468-4B15-94BD-A4B1B12EBA1F}" type="pres">
      <dgm:prSet presAssocID="{082F90FF-800F-456A-A8C4-0B6AF5EB0261}" presName="connTx" presStyleLbl="parChTrans1D2" presStyleIdx="2" presStyleCnt="6"/>
      <dgm:spPr/>
      <dgm:t>
        <a:bodyPr/>
        <a:lstStyle/>
        <a:p>
          <a:endParaRPr lang="en-US"/>
        </a:p>
      </dgm:t>
    </dgm:pt>
    <dgm:pt modelId="{94AF94F4-5009-456C-B594-D0C2BD6DEA4B}" type="pres">
      <dgm:prSet presAssocID="{4AAD508F-878C-4CC0-9455-ABA01BCA164A}" presName="node" presStyleLbl="node1" presStyleIdx="2" presStyleCnt="6">
        <dgm:presLayoutVars>
          <dgm:bulletEnabled val="1"/>
        </dgm:presLayoutVars>
      </dgm:prSet>
      <dgm:spPr/>
      <dgm:t>
        <a:bodyPr/>
        <a:lstStyle/>
        <a:p>
          <a:endParaRPr lang="en-US"/>
        </a:p>
      </dgm:t>
    </dgm:pt>
    <dgm:pt modelId="{27939EF2-C7AC-415B-A16A-2D3047ADF175}" type="pres">
      <dgm:prSet presAssocID="{CFEF584B-3EC2-4763-A6B2-B2F97A74FC24}" presName="Name9" presStyleLbl="parChTrans1D2" presStyleIdx="3" presStyleCnt="6"/>
      <dgm:spPr/>
      <dgm:t>
        <a:bodyPr/>
        <a:lstStyle/>
        <a:p>
          <a:endParaRPr lang="en-US"/>
        </a:p>
      </dgm:t>
    </dgm:pt>
    <dgm:pt modelId="{5B4876C7-0E5F-4F6D-A676-872ADD3FA443}" type="pres">
      <dgm:prSet presAssocID="{CFEF584B-3EC2-4763-A6B2-B2F97A74FC24}" presName="connTx" presStyleLbl="parChTrans1D2" presStyleIdx="3" presStyleCnt="6"/>
      <dgm:spPr/>
      <dgm:t>
        <a:bodyPr/>
        <a:lstStyle/>
        <a:p>
          <a:endParaRPr lang="en-US"/>
        </a:p>
      </dgm:t>
    </dgm:pt>
    <dgm:pt modelId="{F2BB6214-65F9-4CC2-9135-B729E6EBB706}" type="pres">
      <dgm:prSet presAssocID="{309D4CA4-0A60-495A-9ED7-7D5FCAC9EE94}" presName="node" presStyleLbl="node1" presStyleIdx="3" presStyleCnt="6">
        <dgm:presLayoutVars>
          <dgm:bulletEnabled val="1"/>
        </dgm:presLayoutVars>
      </dgm:prSet>
      <dgm:spPr/>
      <dgm:t>
        <a:bodyPr/>
        <a:lstStyle/>
        <a:p>
          <a:endParaRPr lang="en-US"/>
        </a:p>
      </dgm:t>
    </dgm:pt>
    <dgm:pt modelId="{395D1E31-D8C5-4B6C-BEE6-1660643A4815}" type="pres">
      <dgm:prSet presAssocID="{9A47056F-1F40-45C7-A035-58D477E3EBDE}" presName="Name9" presStyleLbl="parChTrans1D2" presStyleIdx="4" presStyleCnt="6"/>
      <dgm:spPr/>
      <dgm:t>
        <a:bodyPr/>
        <a:lstStyle/>
        <a:p>
          <a:endParaRPr lang="en-US"/>
        </a:p>
      </dgm:t>
    </dgm:pt>
    <dgm:pt modelId="{A9655F9D-8F50-4C7D-8661-C8DA0A2A8CD1}" type="pres">
      <dgm:prSet presAssocID="{9A47056F-1F40-45C7-A035-58D477E3EBDE}" presName="connTx" presStyleLbl="parChTrans1D2" presStyleIdx="4" presStyleCnt="6"/>
      <dgm:spPr/>
      <dgm:t>
        <a:bodyPr/>
        <a:lstStyle/>
        <a:p>
          <a:endParaRPr lang="en-US"/>
        </a:p>
      </dgm:t>
    </dgm:pt>
    <dgm:pt modelId="{E9F0BCCC-ABF0-4901-8520-4FE68FA3B71D}" type="pres">
      <dgm:prSet presAssocID="{4100CE23-F047-49D7-8CFD-79595EE73026}" presName="node" presStyleLbl="node1" presStyleIdx="4" presStyleCnt="6">
        <dgm:presLayoutVars>
          <dgm:bulletEnabled val="1"/>
        </dgm:presLayoutVars>
      </dgm:prSet>
      <dgm:spPr/>
      <dgm:t>
        <a:bodyPr/>
        <a:lstStyle/>
        <a:p>
          <a:endParaRPr lang="en-US"/>
        </a:p>
      </dgm:t>
    </dgm:pt>
    <dgm:pt modelId="{EC291907-1EBB-46C0-B20E-D3B7924368E2}" type="pres">
      <dgm:prSet presAssocID="{42D6D8E4-A4F6-454E-95DB-5D4BD4990899}" presName="Name9" presStyleLbl="parChTrans1D2" presStyleIdx="5" presStyleCnt="6"/>
      <dgm:spPr/>
      <dgm:t>
        <a:bodyPr/>
        <a:lstStyle/>
        <a:p>
          <a:endParaRPr lang="en-US"/>
        </a:p>
      </dgm:t>
    </dgm:pt>
    <dgm:pt modelId="{7DB4B18A-CF66-4C8E-8C8A-33E50F88B206}" type="pres">
      <dgm:prSet presAssocID="{42D6D8E4-A4F6-454E-95DB-5D4BD4990899}" presName="connTx" presStyleLbl="parChTrans1D2" presStyleIdx="5" presStyleCnt="6"/>
      <dgm:spPr/>
      <dgm:t>
        <a:bodyPr/>
        <a:lstStyle/>
        <a:p>
          <a:endParaRPr lang="en-US"/>
        </a:p>
      </dgm:t>
    </dgm:pt>
    <dgm:pt modelId="{3DD489EF-2B31-4816-99B9-10791A8D9927}" type="pres">
      <dgm:prSet presAssocID="{1A9663ED-35E9-46EB-8380-DB96431578B1}" presName="node" presStyleLbl="node1" presStyleIdx="5" presStyleCnt="6">
        <dgm:presLayoutVars>
          <dgm:bulletEnabled val="1"/>
        </dgm:presLayoutVars>
      </dgm:prSet>
      <dgm:spPr/>
      <dgm:t>
        <a:bodyPr/>
        <a:lstStyle/>
        <a:p>
          <a:endParaRPr lang="en-US"/>
        </a:p>
      </dgm:t>
    </dgm:pt>
  </dgm:ptLst>
  <dgm:cxnLst>
    <dgm:cxn modelId="{A8779CA8-2DFC-4EB0-8F0A-52CBDDB0A431}" type="presOf" srcId="{808A7BEB-CCB8-449B-817B-E6FD8AAC71BE}" destId="{0C9BC695-4B38-4D65-9C46-D3E059FBB3A1}" srcOrd="0" destOrd="0" presId="urn:microsoft.com/office/officeart/2005/8/layout/radial1"/>
    <dgm:cxn modelId="{A3E02B21-3937-48EA-969C-B2E97E5DAF7F}" type="presOf" srcId="{CFEF584B-3EC2-4763-A6B2-B2F97A74FC24}" destId="{27939EF2-C7AC-415B-A16A-2D3047ADF175}" srcOrd="0" destOrd="0" presId="urn:microsoft.com/office/officeart/2005/8/layout/radial1"/>
    <dgm:cxn modelId="{DFF694D2-1DA9-4EC7-81E7-8D880F2DB8C2}" type="presOf" srcId="{3DC9944E-3932-4B2B-9682-BF2258CD14D7}" destId="{341B7957-7FC3-464B-82F7-EB90256B78D0}" srcOrd="0" destOrd="0" presId="urn:microsoft.com/office/officeart/2005/8/layout/radial1"/>
    <dgm:cxn modelId="{A76E3547-8165-4919-9630-5E088B87B45E}" type="presOf" srcId="{082F90FF-800F-456A-A8C4-0B6AF5EB0261}" destId="{B74574D9-9D81-49B6-A242-17D3A2921D16}" srcOrd="0" destOrd="0" presId="urn:microsoft.com/office/officeart/2005/8/layout/radial1"/>
    <dgm:cxn modelId="{2E8D1F8A-2843-4B01-8363-386D9D362188}" type="presOf" srcId="{D8232C0F-9F9F-46DE-B528-34CACF11E69D}" destId="{80270935-D21F-40D2-AB81-4878E173B8AE}" srcOrd="1" destOrd="0" presId="urn:microsoft.com/office/officeart/2005/8/layout/radial1"/>
    <dgm:cxn modelId="{219DF514-E6B7-4DE2-9AF7-2BDBAE8822B2}" srcId="{43408000-8C39-489C-860D-5698F0F3241E}" destId="{5ADD372E-B8FA-4F43-8748-7839CC877A8B}" srcOrd="1" destOrd="0" parTransId="{D8232C0F-9F9F-46DE-B528-34CACF11E69D}" sibTransId="{4A8A6103-462F-46A9-AF21-B4E5342A86D6}"/>
    <dgm:cxn modelId="{57D04AB9-0336-4064-B788-EE5C6C1B4AC2}" srcId="{43408000-8C39-489C-860D-5698F0F3241E}" destId="{4100CE23-F047-49D7-8CFD-79595EE73026}" srcOrd="4" destOrd="0" parTransId="{9A47056F-1F40-45C7-A035-58D477E3EBDE}" sibTransId="{ACDB8EE5-6901-46CC-950B-728D69D1E6B4}"/>
    <dgm:cxn modelId="{6B316B91-FF23-482B-91AE-6EC30CBCAE51}" type="presOf" srcId="{4AAD508F-878C-4CC0-9455-ABA01BCA164A}" destId="{94AF94F4-5009-456C-B594-D0C2BD6DEA4B}" srcOrd="0" destOrd="0" presId="urn:microsoft.com/office/officeart/2005/8/layout/radial1"/>
    <dgm:cxn modelId="{827D52E3-194A-428B-A2FF-9DC31C442E41}" type="presOf" srcId="{309D4CA4-0A60-495A-9ED7-7D5FCAC9EE94}" destId="{F2BB6214-65F9-4CC2-9135-B729E6EBB706}" srcOrd="0" destOrd="0" presId="urn:microsoft.com/office/officeart/2005/8/layout/radial1"/>
    <dgm:cxn modelId="{3D2F8355-0748-4615-B0DE-99D01BC28C73}" type="presOf" srcId="{3DC9944E-3932-4B2B-9682-BF2258CD14D7}" destId="{57234F42-5EA1-4F4C-921A-E0150C6B5325}" srcOrd="1" destOrd="0" presId="urn:microsoft.com/office/officeart/2005/8/layout/radial1"/>
    <dgm:cxn modelId="{63643B2B-4650-4822-84B5-CDE8D0654480}" srcId="{808A7BEB-CCB8-449B-817B-E6FD8AAC71BE}" destId="{43408000-8C39-489C-860D-5698F0F3241E}" srcOrd="0" destOrd="0" parTransId="{768151CF-F934-4016-8A7E-FA6713630C84}" sibTransId="{D22CF966-0DAF-4B5E-9CF9-1D8C705CE647}"/>
    <dgm:cxn modelId="{1604FFCE-6C96-42BC-A581-C9534663EF7C}" type="presOf" srcId="{4100CE23-F047-49D7-8CFD-79595EE73026}" destId="{E9F0BCCC-ABF0-4901-8520-4FE68FA3B71D}" srcOrd="0" destOrd="0" presId="urn:microsoft.com/office/officeart/2005/8/layout/radial1"/>
    <dgm:cxn modelId="{8D55F86B-A4ED-4473-8990-50A5B53BFEB0}" type="presOf" srcId="{42D6D8E4-A4F6-454E-95DB-5D4BD4990899}" destId="{7DB4B18A-CF66-4C8E-8C8A-33E50F88B206}" srcOrd="1" destOrd="0" presId="urn:microsoft.com/office/officeart/2005/8/layout/radial1"/>
    <dgm:cxn modelId="{098B2421-025A-45A4-A361-B5F26FFFFFF0}" type="presOf" srcId="{2311E098-F1C6-4126-B2E4-489ABCEFC1B1}" destId="{39D02CB9-4F96-4F1F-8BE0-81EF388CDE1F}" srcOrd="0" destOrd="0" presId="urn:microsoft.com/office/officeart/2005/8/layout/radial1"/>
    <dgm:cxn modelId="{CDE26827-E84E-4F05-A699-E9E36E978597}" type="presOf" srcId="{43408000-8C39-489C-860D-5698F0F3241E}" destId="{2F6C88AE-5646-43DD-8442-7C046D5C4DF3}" srcOrd="0" destOrd="0" presId="urn:microsoft.com/office/officeart/2005/8/layout/radial1"/>
    <dgm:cxn modelId="{BDE0D2FA-D34C-4755-8E3A-6459FAC76322}" type="presOf" srcId="{D8232C0F-9F9F-46DE-B528-34CACF11E69D}" destId="{87E75E09-DB32-4DD4-A910-FB156DB0D5A1}" srcOrd="0" destOrd="0" presId="urn:microsoft.com/office/officeart/2005/8/layout/radial1"/>
    <dgm:cxn modelId="{A0CACDE3-3BD1-4B72-9469-61E847D824BF}" type="presOf" srcId="{9A47056F-1F40-45C7-A035-58D477E3EBDE}" destId="{A9655F9D-8F50-4C7D-8661-C8DA0A2A8CD1}" srcOrd="1" destOrd="0" presId="urn:microsoft.com/office/officeart/2005/8/layout/radial1"/>
    <dgm:cxn modelId="{3E274525-D92A-43A3-884E-B239B8F42E40}" type="presOf" srcId="{42D6D8E4-A4F6-454E-95DB-5D4BD4990899}" destId="{EC291907-1EBB-46C0-B20E-D3B7924368E2}" srcOrd="0" destOrd="0" presId="urn:microsoft.com/office/officeart/2005/8/layout/radial1"/>
    <dgm:cxn modelId="{5EB7724D-892B-424F-883B-3C62750C9E3A}" type="presOf" srcId="{082F90FF-800F-456A-A8C4-0B6AF5EB0261}" destId="{D45CF7F5-4468-4B15-94BD-A4B1B12EBA1F}" srcOrd="1" destOrd="0" presId="urn:microsoft.com/office/officeart/2005/8/layout/radial1"/>
    <dgm:cxn modelId="{BB7301AE-43C2-471C-9F6F-376E8B8366F1}" srcId="{43408000-8C39-489C-860D-5698F0F3241E}" destId="{309D4CA4-0A60-495A-9ED7-7D5FCAC9EE94}" srcOrd="3" destOrd="0" parTransId="{CFEF584B-3EC2-4763-A6B2-B2F97A74FC24}" sibTransId="{54920DAA-B99D-4E21-86F2-890378569E16}"/>
    <dgm:cxn modelId="{1FC90F7F-027F-4763-B96C-308C964D8424}" srcId="{43408000-8C39-489C-860D-5698F0F3241E}" destId="{1A9663ED-35E9-46EB-8380-DB96431578B1}" srcOrd="5" destOrd="0" parTransId="{42D6D8E4-A4F6-454E-95DB-5D4BD4990899}" sibTransId="{EEB322BF-5BCE-45F8-A0C9-E18DF48BF420}"/>
    <dgm:cxn modelId="{E8F2CE0F-AF89-4739-9128-1FD268FB7320}" type="presOf" srcId="{9A47056F-1F40-45C7-A035-58D477E3EBDE}" destId="{395D1E31-D8C5-4B6C-BEE6-1660643A4815}" srcOrd="0" destOrd="0" presId="urn:microsoft.com/office/officeart/2005/8/layout/radial1"/>
    <dgm:cxn modelId="{8861F246-27F2-464C-AADC-F2A277021313}" type="presOf" srcId="{1A9663ED-35E9-46EB-8380-DB96431578B1}" destId="{3DD489EF-2B31-4816-99B9-10791A8D9927}" srcOrd="0" destOrd="0" presId="urn:microsoft.com/office/officeart/2005/8/layout/radial1"/>
    <dgm:cxn modelId="{1E449A13-2A8E-4974-8389-6AC1D2836F35}" type="presOf" srcId="{CFEF584B-3EC2-4763-A6B2-B2F97A74FC24}" destId="{5B4876C7-0E5F-4F6D-A676-872ADD3FA443}" srcOrd="1" destOrd="0" presId="urn:microsoft.com/office/officeart/2005/8/layout/radial1"/>
    <dgm:cxn modelId="{64F90914-AD93-43C5-9C5A-7A7C1079BACB}" srcId="{43408000-8C39-489C-860D-5698F0F3241E}" destId="{4AAD508F-878C-4CC0-9455-ABA01BCA164A}" srcOrd="2" destOrd="0" parTransId="{082F90FF-800F-456A-A8C4-0B6AF5EB0261}" sibTransId="{9B12BA55-4A45-4174-97AD-3BE7DD3619E0}"/>
    <dgm:cxn modelId="{0E370743-287A-4FF6-94D7-B4964CA684CE}" srcId="{43408000-8C39-489C-860D-5698F0F3241E}" destId="{2311E098-F1C6-4126-B2E4-489ABCEFC1B1}" srcOrd="0" destOrd="0" parTransId="{3DC9944E-3932-4B2B-9682-BF2258CD14D7}" sibTransId="{6C424689-4798-4C7E-952B-B7F78B82AC7E}"/>
    <dgm:cxn modelId="{9D78EE23-DCE2-4A52-8C05-FF3DC01E2C46}" type="presOf" srcId="{5ADD372E-B8FA-4F43-8748-7839CC877A8B}" destId="{2F1EE4DF-2E59-4466-8D15-FA3E1C499504}" srcOrd="0" destOrd="0" presId="urn:microsoft.com/office/officeart/2005/8/layout/radial1"/>
    <dgm:cxn modelId="{60D020DE-12E1-4AF4-8150-9D47786EF23D}" type="presParOf" srcId="{0C9BC695-4B38-4D65-9C46-D3E059FBB3A1}" destId="{2F6C88AE-5646-43DD-8442-7C046D5C4DF3}" srcOrd="0" destOrd="0" presId="urn:microsoft.com/office/officeart/2005/8/layout/radial1"/>
    <dgm:cxn modelId="{856F2612-074D-41D6-B0F1-C102D8F5B91F}" type="presParOf" srcId="{0C9BC695-4B38-4D65-9C46-D3E059FBB3A1}" destId="{341B7957-7FC3-464B-82F7-EB90256B78D0}" srcOrd="1" destOrd="0" presId="urn:microsoft.com/office/officeart/2005/8/layout/radial1"/>
    <dgm:cxn modelId="{E23F89F3-972E-4FA1-A0D3-FA58A1261A6C}" type="presParOf" srcId="{341B7957-7FC3-464B-82F7-EB90256B78D0}" destId="{57234F42-5EA1-4F4C-921A-E0150C6B5325}" srcOrd="0" destOrd="0" presId="urn:microsoft.com/office/officeart/2005/8/layout/radial1"/>
    <dgm:cxn modelId="{EE4AD9AD-8D8D-4B55-9371-837287011870}" type="presParOf" srcId="{0C9BC695-4B38-4D65-9C46-D3E059FBB3A1}" destId="{39D02CB9-4F96-4F1F-8BE0-81EF388CDE1F}" srcOrd="2" destOrd="0" presId="urn:microsoft.com/office/officeart/2005/8/layout/radial1"/>
    <dgm:cxn modelId="{F461F310-C10E-4961-9776-0D8EFC600446}" type="presParOf" srcId="{0C9BC695-4B38-4D65-9C46-D3E059FBB3A1}" destId="{87E75E09-DB32-4DD4-A910-FB156DB0D5A1}" srcOrd="3" destOrd="0" presId="urn:microsoft.com/office/officeart/2005/8/layout/radial1"/>
    <dgm:cxn modelId="{2945E4FB-1D37-41AA-8ABA-A4A539FDC6F2}" type="presParOf" srcId="{87E75E09-DB32-4DD4-A910-FB156DB0D5A1}" destId="{80270935-D21F-40D2-AB81-4878E173B8AE}" srcOrd="0" destOrd="0" presId="urn:microsoft.com/office/officeart/2005/8/layout/radial1"/>
    <dgm:cxn modelId="{4F3DF649-321F-48B1-A403-9281B7E9341F}" type="presParOf" srcId="{0C9BC695-4B38-4D65-9C46-D3E059FBB3A1}" destId="{2F1EE4DF-2E59-4466-8D15-FA3E1C499504}" srcOrd="4" destOrd="0" presId="urn:microsoft.com/office/officeart/2005/8/layout/radial1"/>
    <dgm:cxn modelId="{2AB80D8E-5A77-43DD-A729-72CCC3652C52}" type="presParOf" srcId="{0C9BC695-4B38-4D65-9C46-D3E059FBB3A1}" destId="{B74574D9-9D81-49B6-A242-17D3A2921D16}" srcOrd="5" destOrd="0" presId="urn:microsoft.com/office/officeart/2005/8/layout/radial1"/>
    <dgm:cxn modelId="{DFF1DD86-B1F4-4700-94BD-FBBA880EE130}" type="presParOf" srcId="{B74574D9-9D81-49B6-A242-17D3A2921D16}" destId="{D45CF7F5-4468-4B15-94BD-A4B1B12EBA1F}" srcOrd="0" destOrd="0" presId="urn:microsoft.com/office/officeart/2005/8/layout/radial1"/>
    <dgm:cxn modelId="{7AACCF93-706F-4503-81D9-D2F1A5D07C9A}" type="presParOf" srcId="{0C9BC695-4B38-4D65-9C46-D3E059FBB3A1}" destId="{94AF94F4-5009-456C-B594-D0C2BD6DEA4B}" srcOrd="6" destOrd="0" presId="urn:microsoft.com/office/officeart/2005/8/layout/radial1"/>
    <dgm:cxn modelId="{736AB05E-F50B-40D9-A895-5C630B0E784E}" type="presParOf" srcId="{0C9BC695-4B38-4D65-9C46-D3E059FBB3A1}" destId="{27939EF2-C7AC-415B-A16A-2D3047ADF175}" srcOrd="7" destOrd="0" presId="urn:microsoft.com/office/officeart/2005/8/layout/radial1"/>
    <dgm:cxn modelId="{54CDA61F-B982-4616-83A6-42CBAA5400DB}" type="presParOf" srcId="{27939EF2-C7AC-415B-A16A-2D3047ADF175}" destId="{5B4876C7-0E5F-4F6D-A676-872ADD3FA443}" srcOrd="0" destOrd="0" presId="urn:microsoft.com/office/officeart/2005/8/layout/radial1"/>
    <dgm:cxn modelId="{6A8F493E-9338-4157-A58F-A762BB3BA933}" type="presParOf" srcId="{0C9BC695-4B38-4D65-9C46-D3E059FBB3A1}" destId="{F2BB6214-65F9-4CC2-9135-B729E6EBB706}" srcOrd="8" destOrd="0" presId="urn:microsoft.com/office/officeart/2005/8/layout/radial1"/>
    <dgm:cxn modelId="{3D07D704-6178-4444-97D1-B782D26140F3}" type="presParOf" srcId="{0C9BC695-4B38-4D65-9C46-D3E059FBB3A1}" destId="{395D1E31-D8C5-4B6C-BEE6-1660643A4815}" srcOrd="9" destOrd="0" presId="urn:microsoft.com/office/officeart/2005/8/layout/radial1"/>
    <dgm:cxn modelId="{93113493-630C-40A8-9EB8-4BA89D7C9CA6}" type="presParOf" srcId="{395D1E31-D8C5-4B6C-BEE6-1660643A4815}" destId="{A9655F9D-8F50-4C7D-8661-C8DA0A2A8CD1}" srcOrd="0" destOrd="0" presId="urn:microsoft.com/office/officeart/2005/8/layout/radial1"/>
    <dgm:cxn modelId="{2424FE80-D784-4630-A23D-C8888FD9C7FF}" type="presParOf" srcId="{0C9BC695-4B38-4D65-9C46-D3E059FBB3A1}" destId="{E9F0BCCC-ABF0-4901-8520-4FE68FA3B71D}" srcOrd="10" destOrd="0" presId="urn:microsoft.com/office/officeart/2005/8/layout/radial1"/>
    <dgm:cxn modelId="{30E38449-7991-45FE-B62E-C8259D0D4E19}" type="presParOf" srcId="{0C9BC695-4B38-4D65-9C46-D3E059FBB3A1}" destId="{EC291907-1EBB-46C0-B20E-D3B7924368E2}" srcOrd="11" destOrd="0" presId="urn:microsoft.com/office/officeart/2005/8/layout/radial1"/>
    <dgm:cxn modelId="{D6794124-0097-44EB-A66E-41E34C0CF5FC}" type="presParOf" srcId="{EC291907-1EBB-46C0-B20E-D3B7924368E2}" destId="{7DB4B18A-CF66-4C8E-8C8A-33E50F88B206}" srcOrd="0" destOrd="0" presId="urn:microsoft.com/office/officeart/2005/8/layout/radial1"/>
    <dgm:cxn modelId="{33171E81-600B-4014-AE86-B8150EE6BA9D}" type="presParOf" srcId="{0C9BC695-4B38-4D65-9C46-D3E059FBB3A1}" destId="{3DD489EF-2B31-4816-99B9-10791A8D9927}" srcOrd="12"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C88AE-5646-43DD-8442-7C046D5C4DF3}">
      <dsp:nvSpPr>
        <dsp:cNvPr id="0" name=""/>
        <dsp:cNvSpPr/>
      </dsp:nvSpPr>
      <dsp:spPr>
        <a:xfrm>
          <a:off x="3552132" y="1728094"/>
          <a:ext cx="1325360" cy="1325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Building a second victim program</a:t>
          </a:r>
        </a:p>
      </dsp:txBody>
      <dsp:txXfrm>
        <a:off x="3746226" y="1922188"/>
        <a:ext cx="937172" cy="937172"/>
      </dsp:txXfrm>
    </dsp:sp>
    <dsp:sp modelId="{341B7957-7FC3-464B-82F7-EB90256B78D0}">
      <dsp:nvSpPr>
        <dsp:cNvPr id="0" name=""/>
        <dsp:cNvSpPr/>
      </dsp:nvSpPr>
      <dsp:spPr>
        <a:xfrm rot="16200000">
          <a:off x="4014812" y="1513943"/>
          <a:ext cx="400000" cy="28300"/>
        </a:xfrm>
        <a:custGeom>
          <a:avLst/>
          <a:gdLst/>
          <a:ahLst/>
          <a:cxnLst/>
          <a:rect l="0" t="0" r="0" b="0"/>
          <a:pathLst>
            <a:path>
              <a:moveTo>
                <a:pt x="0" y="14150"/>
              </a:moveTo>
              <a:lnTo>
                <a:pt x="400000" y="14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4812" y="1518094"/>
        <a:ext cx="20000" cy="20000"/>
      </dsp:txXfrm>
    </dsp:sp>
    <dsp:sp modelId="{39D02CB9-4F96-4F1F-8BE0-81EF388CDE1F}">
      <dsp:nvSpPr>
        <dsp:cNvPr id="0" name=""/>
        <dsp:cNvSpPr/>
      </dsp:nvSpPr>
      <dsp:spPr>
        <a:xfrm>
          <a:off x="3552132" y="2733"/>
          <a:ext cx="1325360" cy="1325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Identify a core team</a:t>
          </a:r>
        </a:p>
      </dsp:txBody>
      <dsp:txXfrm>
        <a:off x="3746226" y="196827"/>
        <a:ext cx="937172" cy="937172"/>
      </dsp:txXfrm>
    </dsp:sp>
    <dsp:sp modelId="{87E75E09-DB32-4DD4-A910-FB156DB0D5A1}">
      <dsp:nvSpPr>
        <dsp:cNvPr id="0" name=""/>
        <dsp:cNvSpPr/>
      </dsp:nvSpPr>
      <dsp:spPr>
        <a:xfrm rot="19800000">
          <a:off x="4761915" y="1945284"/>
          <a:ext cx="400000" cy="28300"/>
        </a:xfrm>
        <a:custGeom>
          <a:avLst/>
          <a:gdLst/>
          <a:ahLst/>
          <a:cxnLst/>
          <a:rect l="0" t="0" r="0" b="0"/>
          <a:pathLst>
            <a:path>
              <a:moveTo>
                <a:pt x="0" y="14150"/>
              </a:moveTo>
              <a:lnTo>
                <a:pt x="400000" y="14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51915" y="1949434"/>
        <a:ext cx="20000" cy="20000"/>
      </dsp:txXfrm>
    </dsp:sp>
    <dsp:sp modelId="{2F1EE4DF-2E59-4466-8D15-FA3E1C499504}">
      <dsp:nvSpPr>
        <dsp:cNvPr id="0" name=""/>
        <dsp:cNvSpPr/>
      </dsp:nvSpPr>
      <dsp:spPr>
        <a:xfrm>
          <a:off x="5046338" y="865413"/>
          <a:ext cx="1325360" cy="1325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Find an executive sponsor</a:t>
          </a:r>
        </a:p>
      </dsp:txBody>
      <dsp:txXfrm>
        <a:off x="5240432" y="1059507"/>
        <a:ext cx="937172" cy="937172"/>
      </dsp:txXfrm>
    </dsp:sp>
    <dsp:sp modelId="{B74574D9-9D81-49B6-A242-17D3A2921D16}">
      <dsp:nvSpPr>
        <dsp:cNvPr id="0" name=""/>
        <dsp:cNvSpPr/>
      </dsp:nvSpPr>
      <dsp:spPr>
        <a:xfrm rot="1800000">
          <a:off x="4761915" y="2807964"/>
          <a:ext cx="400000" cy="28300"/>
        </a:xfrm>
        <a:custGeom>
          <a:avLst/>
          <a:gdLst/>
          <a:ahLst/>
          <a:cxnLst/>
          <a:rect l="0" t="0" r="0" b="0"/>
          <a:pathLst>
            <a:path>
              <a:moveTo>
                <a:pt x="0" y="14150"/>
              </a:moveTo>
              <a:lnTo>
                <a:pt x="400000" y="14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51915" y="2812115"/>
        <a:ext cx="20000" cy="20000"/>
      </dsp:txXfrm>
    </dsp:sp>
    <dsp:sp modelId="{94AF94F4-5009-456C-B594-D0C2BD6DEA4B}">
      <dsp:nvSpPr>
        <dsp:cNvPr id="0" name=""/>
        <dsp:cNvSpPr/>
      </dsp:nvSpPr>
      <dsp:spPr>
        <a:xfrm>
          <a:off x="5046338" y="2590775"/>
          <a:ext cx="1325360" cy="1325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Develop unit based teams</a:t>
          </a:r>
        </a:p>
      </dsp:txBody>
      <dsp:txXfrm>
        <a:off x="5240432" y="2784869"/>
        <a:ext cx="937172" cy="937172"/>
      </dsp:txXfrm>
    </dsp:sp>
    <dsp:sp modelId="{27939EF2-C7AC-415B-A16A-2D3047ADF175}">
      <dsp:nvSpPr>
        <dsp:cNvPr id="0" name=""/>
        <dsp:cNvSpPr/>
      </dsp:nvSpPr>
      <dsp:spPr>
        <a:xfrm rot="5400000">
          <a:off x="4014812" y="3239305"/>
          <a:ext cx="400000" cy="28300"/>
        </a:xfrm>
        <a:custGeom>
          <a:avLst/>
          <a:gdLst/>
          <a:ahLst/>
          <a:cxnLst/>
          <a:rect l="0" t="0" r="0" b="0"/>
          <a:pathLst>
            <a:path>
              <a:moveTo>
                <a:pt x="0" y="14150"/>
              </a:moveTo>
              <a:lnTo>
                <a:pt x="400000" y="14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4812" y="3243455"/>
        <a:ext cx="20000" cy="20000"/>
      </dsp:txXfrm>
    </dsp:sp>
    <dsp:sp modelId="{F2BB6214-65F9-4CC2-9135-B729E6EBB706}">
      <dsp:nvSpPr>
        <dsp:cNvPr id="0" name=""/>
        <dsp:cNvSpPr/>
      </dsp:nvSpPr>
      <dsp:spPr>
        <a:xfrm>
          <a:off x="3552132" y="3453455"/>
          <a:ext cx="1325360" cy="1325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Involve marketing</a:t>
          </a:r>
        </a:p>
      </dsp:txBody>
      <dsp:txXfrm>
        <a:off x="3746226" y="3647549"/>
        <a:ext cx="937172" cy="937172"/>
      </dsp:txXfrm>
    </dsp:sp>
    <dsp:sp modelId="{395D1E31-D8C5-4B6C-BEE6-1660643A4815}">
      <dsp:nvSpPr>
        <dsp:cNvPr id="0" name=""/>
        <dsp:cNvSpPr/>
      </dsp:nvSpPr>
      <dsp:spPr>
        <a:xfrm rot="9000000">
          <a:off x="3267708" y="2807964"/>
          <a:ext cx="400000" cy="28300"/>
        </a:xfrm>
        <a:custGeom>
          <a:avLst/>
          <a:gdLst/>
          <a:ahLst/>
          <a:cxnLst/>
          <a:rect l="0" t="0" r="0" b="0"/>
          <a:pathLst>
            <a:path>
              <a:moveTo>
                <a:pt x="0" y="14150"/>
              </a:moveTo>
              <a:lnTo>
                <a:pt x="400000" y="14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457709" y="2812115"/>
        <a:ext cx="20000" cy="20000"/>
      </dsp:txXfrm>
    </dsp:sp>
    <dsp:sp modelId="{E9F0BCCC-ABF0-4901-8520-4FE68FA3B71D}">
      <dsp:nvSpPr>
        <dsp:cNvPr id="0" name=""/>
        <dsp:cNvSpPr/>
      </dsp:nvSpPr>
      <dsp:spPr>
        <a:xfrm>
          <a:off x="2057925" y="2590775"/>
          <a:ext cx="1325360" cy="1325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Educate and train</a:t>
          </a:r>
        </a:p>
      </dsp:txBody>
      <dsp:txXfrm>
        <a:off x="2252019" y="2784869"/>
        <a:ext cx="937172" cy="937172"/>
      </dsp:txXfrm>
    </dsp:sp>
    <dsp:sp modelId="{EC291907-1EBB-46C0-B20E-D3B7924368E2}">
      <dsp:nvSpPr>
        <dsp:cNvPr id="0" name=""/>
        <dsp:cNvSpPr/>
      </dsp:nvSpPr>
      <dsp:spPr>
        <a:xfrm rot="12600000">
          <a:off x="3267708" y="1945284"/>
          <a:ext cx="400000" cy="28300"/>
        </a:xfrm>
        <a:custGeom>
          <a:avLst/>
          <a:gdLst/>
          <a:ahLst/>
          <a:cxnLst/>
          <a:rect l="0" t="0" r="0" b="0"/>
          <a:pathLst>
            <a:path>
              <a:moveTo>
                <a:pt x="0" y="14150"/>
              </a:moveTo>
              <a:lnTo>
                <a:pt x="400000" y="14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457709" y="1949434"/>
        <a:ext cx="20000" cy="20000"/>
      </dsp:txXfrm>
    </dsp:sp>
    <dsp:sp modelId="{3DD489EF-2B31-4816-99B9-10791A8D9927}">
      <dsp:nvSpPr>
        <dsp:cNvPr id="0" name=""/>
        <dsp:cNvSpPr/>
      </dsp:nvSpPr>
      <dsp:spPr>
        <a:xfrm>
          <a:off x="2057925" y="865413"/>
          <a:ext cx="1325360" cy="1325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Track data </a:t>
          </a:r>
        </a:p>
      </dsp:txBody>
      <dsp:txXfrm>
        <a:off x="2252019" y="1059507"/>
        <a:ext cx="937172" cy="9371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8C8C7B18A0FB44A781AC0A6ACE7A82" ma:contentTypeVersion="0" ma:contentTypeDescription="Create a new document." ma:contentTypeScope="" ma:versionID="56b5a5114637d7e56bf157c9b32a11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2BDCB-F71F-458A-9E04-A4B7BE35BBB8}">
  <ds:schemaRef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CD08FB0-F565-4102-BB13-43667DF3C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22035C-68BF-4A5B-B716-9F7D59896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Welch,Jennifer K</dc:creator>
  <cp:lastModifiedBy>Erika Thomas</cp:lastModifiedBy>
  <cp:revision>2</cp:revision>
  <cp:lastPrinted>2021-02-27T21:34:00Z</cp:lastPrinted>
  <dcterms:created xsi:type="dcterms:W3CDTF">2021-07-23T16:34:00Z</dcterms:created>
  <dcterms:modified xsi:type="dcterms:W3CDTF">2021-07-23T16:34:00Z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0x010100BC8C8C7B18A0FB44A781AC0A6ACE7A82</vt:lpwstr>
  </property>
</Properties>
</file>